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23DB" w:rsidRDefault="006323DB" w:rsidP="00737FF4">
      <w:pPr>
        <w:spacing w:line="259" w:lineRule="auto"/>
        <w:ind w:firstLine="0"/>
        <w:jc w:val="left"/>
      </w:pPr>
      <w:r>
        <w:rPr>
          <w:noProof/>
          <w:lang w:eastAsia="pt-BR"/>
        </w:rPr>
        <w:drawing>
          <wp:inline distT="114300" distB="114300" distL="114300" distR="114300" wp14:anchorId="02B5009B" wp14:editId="74E4F44D">
            <wp:extent cx="6120130" cy="8644510"/>
            <wp:effectExtent l="0" t="0" r="0" b="4445"/>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t="65" b="65"/>
                    <a:stretch>
                      <a:fillRect/>
                    </a:stretch>
                  </pic:blipFill>
                  <pic:spPr>
                    <a:xfrm>
                      <a:off x="0" y="0"/>
                      <a:ext cx="6120130" cy="8644510"/>
                    </a:xfrm>
                    <a:prstGeom prst="rect">
                      <a:avLst/>
                    </a:prstGeom>
                    <a:ln/>
                  </pic:spPr>
                </pic:pic>
              </a:graphicData>
            </a:graphic>
          </wp:inline>
        </w:drawing>
      </w:r>
    </w:p>
    <w:p w:rsidR="006323DB" w:rsidRDefault="006323DB" w:rsidP="00737FF4">
      <w:pPr>
        <w:spacing w:line="259" w:lineRule="auto"/>
        <w:ind w:firstLine="0"/>
        <w:jc w:val="left"/>
      </w:pPr>
    </w:p>
    <w:p w:rsidR="006323DB" w:rsidRDefault="006323DB" w:rsidP="00737FF4">
      <w:pPr>
        <w:spacing w:line="259" w:lineRule="auto"/>
        <w:ind w:firstLine="0"/>
        <w:jc w:val="left"/>
      </w:pPr>
    </w:p>
    <w:p w:rsidR="005D05F6" w:rsidRDefault="009F3406" w:rsidP="00737FF4">
      <w:pPr>
        <w:spacing w:line="259" w:lineRule="auto"/>
        <w:ind w:firstLine="0"/>
        <w:jc w:val="left"/>
      </w:pPr>
      <w:r>
        <w:rPr>
          <w:noProof/>
          <w:lang w:eastAsia="pt-BR"/>
        </w:rPr>
        <w:lastRenderedPageBreak/>
        <mc:AlternateContent>
          <mc:Choice Requires="wps">
            <w:drawing>
              <wp:anchor distT="45720" distB="45720" distL="114300" distR="114300" simplePos="0" relativeHeight="252008448" behindDoc="0" locked="0" layoutInCell="1" allowOverlap="1" wp14:anchorId="14C17018" wp14:editId="5BF61512">
                <wp:simplePos x="0" y="0"/>
                <wp:positionH relativeFrom="column">
                  <wp:posOffset>0</wp:posOffset>
                </wp:positionH>
                <wp:positionV relativeFrom="paragraph">
                  <wp:posOffset>0</wp:posOffset>
                </wp:positionV>
                <wp:extent cx="4572000" cy="1155700"/>
                <wp:effectExtent l="0" t="0" r="0" b="635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155700"/>
                        </a:xfrm>
                        <a:prstGeom prst="rect">
                          <a:avLst/>
                        </a:prstGeom>
                        <a:solidFill>
                          <a:srgbClr val="FFFFFF"/>
                        </a:solidFill>
                        <a:ln w="9525">
                          <a:noFill/>
                          <a:miter lim="800000"/>
                          <a:headEnd/>
                          <a:tailEnd/>
                        </a:ln>
                      </wps:spPr>
                      <wps:txbx>
                        <w:txbxContent>
                          <w:p w:rsidR="009F3406" w:rsidRDefault="009F3406" w:rsidP="009F3406">
                            <w:r>
                              <w:rPr>
                                <w:noProof/>
                                <w:lang w:eastAsia="pt-BR"/>
                              </w:rPr>
                              <w:drawing>
                                <wp:inline distT="0" distB="0" distL="0" distR="0" wp14:anchorId="1476A007" wp14:editId="25E5EC3C">
                                  <wp:extent cx="3778250" cy="1105041"/>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 SC 2023.jpg"/>
                                          <pic:cNvPicPr/>
                                        </pic:nvPicPr>
                                        <pic:blipFill>
                                          <a:blip r:embed="rId9">
                                            <a:extLst>
                                              <a:ext uri="{28A0092B-C50C-407E-A947-70E740481C1C}">
                                                <a14:useLocalDpi xmlns:a14="http://schemas.microsoft.com/office/drawing/2010/main" val="0"/>
                                              </a:ext>
                                            </a:extLst>
                                          </a:blip>
                                          <a:stretch>
                                            <a:fillRect/>
                                          </a:stretch>
                                        </pic:blipFill>
                                        <pic:spPr>
                                          <a:xfrm>
                                            <a:off x="0" y="0"/>
                                            <a:ext cx="4022922" cy="117660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C17018" id="_x0000_t202" coordsize="21600,21600" o:spt="202" path="m,l,21600r21600,l21600,xe">
                <v:stroke joinstyle="miter"/>
                <v:path gradientshapeok="t" o:connecttype="rect"/>
              </v:shapetype>
              <v:shape id="Caixa de Texto 2" o:spid="_x0000_s1026" type="#_x0000_t202" style="position:absolute;margin-left:0;margin-top:0;width:5in;height:91pt;z-index:25200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" stroked="f">
                <v:textbox>
                  <w:txbxContent>
                    <w:p w:rsidR="009F3406" w:rsidRDefault="009F3406" w:rsidP="009F3406">
                      <w:r>
                        <w:rPr>
                          <w:noProof/>
                          <w:lang w:eastAsia="pt-BR"/>
                        </w:rPr>
                        <w:drawing>
                          <wp:inline distT="0" distB="0" distL="0" distR="0" wp14:anchorId="1476A007" wp14:editId="25E5EC3C">
                            <wp:extent cx="3778250" cy="1105041"/>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 SC 2023.jpg"/>
                                    <pic:cNvPicPr/>
                                  </pic:nvPicPr>
                                  <pic:blipFill>
                                    <a:blip r:embed="rId10">
                                      <a:extLst>
                                        <a:ext uri="{28A0092B-C50C-407E-A947-70E740481C1C}">
                                          <a14:useLocalDpi xmlns:a14="http://schemas.microsoft.com/office/drawing/2010/main" val="0"/>
                                        </a:ext>
                                      </a:extLst>
                                    </a:blip>
                                    <a:stretch>
                                      <a:fillRect/>
                                    </a:stretch>
                                  </pic:blipFill>
                                  <pic:spPr>
                                    <a:xfrm>
                                      <a:off x="0" y="0"/>
                                      <a:ext cx="4022922" cy="1176601"/>
                                    </a:xfrm>
                                    <a:prstGeom prst="rect">
                                      <a:avLst/>
                                    </a:prstGeom>
                                  </pic:spPr>
                                </pic:pic>
                              </a:graphicData>
                            </a:graphic>
                          </wp:inline>
                        </w:drawing>
                      </w:r>
                    </w:p>
                  </w:txbxContent>
                </v:textbox>
                <w10:wrap type="square"/>
              </v:shape>
            </w:pict>
          </mc:Fallback>
        </mc:AlternateContent>
      </w:r>
    </w:p>
    <w:p w:rsidR="005D05F6" w:rsidRDefault="005D05F6"/>
    <w:p w:rsidR="005756C5" w:rsidRDefault="006073C7">
      <w:r>
        <w:rPr>
          <w:noProof/>
          <w:lang w:eastAsia="pt-BR"/>
        </w:rPr>
        <mc:AlternateContent>
          <mc:Choice Requires="wps">
            <w:drawing>
              <wp:anchor distT="0" distB="0" distL="114300" distR="114300" simplePos="0" relativeHeight="251659264" behindDoc="0" locked="0" layoutInCell="1" allowOverlap="1">
                <wp:simplePos x="0" y="0"/>
                <wp:positionH relativeFrom="column">
                  <wp:posOffset>137160</wp:posOffset>
                </wp:positionH>
                <wp:positionV relativeFrom="paragraph">
                  <wp:posOffset>824230</wp:posOffset>
                </wp:positionV>
                <wp:extent cx="5819775" cy="5314950"/>
                <wp:effectExtent l="0" t="0" r="9525" b="0"/>
                <wp:wrapNone/>
                <wp:docPr id="1" name="Caixa de Texto 1"/>
                <wp:cNvGraphicFramePr/>
                <a:graphic xmlns:a="http://schemas.openxmlformats.org/drawingml/2006/main">
                  <a:graphicData uri="http://schemas.microsoft.com/office/word/2010/wordprocessingShape">
                    <wps:wsp>
                      <wps:cNvSpPr txBox="1"/>
                      <wps:spPr>
                        <a:xfrm>
                          <a:off x="0" y="0"/>
                          <a:ext cx="5819775" cy="5314950"/>
                        </a:xfrm>
                        <a:prstGeom prst="rect">
                          <a:avLst/>
                        </a:prstGeom>
                        <a:solidFill>
                          <a:schemeClr val="lt1"/>
                        </a:solidFill>
                        <a:ln w="6350">
                          <a:noFill/>
                        </a:ln>
                      </wps:spPr>
                      <wps:txbx>
                        <w:txbxContent>
                          <w:p w:rsidR="00195FDE" w:rsidRPr="008B1595" w:rsidRDefault="00195FDE" w:rsidP="008B1595">
                            <w:pPr>
                              <w:spacing w:after="0"/>
                              <w:jc w:val="left"/>
                            </w:pPr>
                            <w:r w:rsidRPr="008B1595">
                              <w:t>SECRETÁRIO DE ESTADO DA FAZENDA</w:t>
                            </w:r>
                          </w:p>
                          <w:p w:rsidR="00195FDE" w:rsidRPr="008B1595" w:rsidRDefault="00195FDE" w:rsidP="008B1595">
                            <w:pPr>
                              <w:spacing w:after="0"/>
                              <w:jc w:val="left"/>
                              <w:rPr>
                                <w:b/>
                              </w:rPr>
                            </w:pPr>
                            <w:proofErr w:type="spellStart"/>
                            <w:r>
                              <w:rPr>
                                <w:b/>
                              </w:rPr>
                              <w:t>Cleverson</w:t>
                            </w:r>
                            <w:proofErr w:type="spellEnd"/>
                            <w:r>
                              <w:rPr>
                                <w:b/>
                              </w:rPr>
                              <w:t xml:space="preserve"> </w:t>
                            </w:r>
                            <w:proofErr w:type="spellStart"/>
                            <w:r>
                              <w:rPr>
                                <w:b/>
                              </w:rPr>
                              <w:t>Siewert</w:t>
                            </w:r>
                            <w:proofErr w:type="spellEnd"/>
                          </w:p>
                          <w:p w:rsidR="00195FDE" w:rsidRPr="008B1595" w:rsidRDefault="00195FDE" w:rsidP="008B1595">
                            <w:pPr>
                              <w:spacing w:after="0"/>
                              <w:jc w:val="left"/>
                            </w:pPr>
                          </w:p>
                          <w:p w:rsidR="00195FDE" w:rsidRPr="008B1595" w:rsidRDefault="004541EE" w:rsidP="008B1595">
                            <w:pPr>
                              <w:spacing w:after="0"/>
                              <w:jc w:val="left"/>
                            </w:pPr>
                            <w:r>
                              <w:t>SECRETÁRIO</w:t>
                            </w:r>
                            <w:r w:rsidR="00195FDE" w:rsidRPr="008B1595">
                              <w:t xml:space="preserve"> ADJUNT</w:t>
                            </w:r>
                            <w:r>
                              <w:t>O</w:t>
                            </w:r>
                          </w:p>
                          <w:p w:rsidR="00195FDE" w:rsidRPr="008B1595" w:rsidRDefault="00195FDE" w:rsidP="008B1595">
                            <w:pPr>
                              <w:spacing w:after="0"/>
                              <w:jc w:val="left"/>
                              <w:rPr>
                                <w:b/>
                              </w:rPr>
                            </w:pPr>
                            <w:r>
                              <w:rPr>
                                <w:b/>
                              </w:rPr>
                              <w:t xml:space="preserve">Augusto </w:t>
                            </w:r>
                            <w:proofErr w:type="spellStart"/>
                            <w:r>
                              <w:rPr>
                                <w:b/>
                              </w:rPr>
                              <w:t>Puhl</w:t>
                            </w:r>
                            <w:proofErr w:type="spellEnd"/>
                            <w:r>
                              <w:rPr>
                                <w:b/>
                              </w:rPr>
                              <w:t xml:space="preserve"> Piazza</w:t>
                            </w:r>
                          </w:p>
                          <w:p w:rsidR="00195FDE" w:rsidRPr="008B1595" w:rsidRDefault="00195FDE" w:rsidP="008B1595">
                            <w:pPr>
                              <w:spacing w:after="0"/>
                              <w:jc w:val="left"/>
                            </w:pPr>
                          </w:p>
                          <w:p w:rsidR="00195FDE" w:rsidRPr="008B1595" w:rsidRDefault="00195FDE" w:rsidP="008B1595">
                            <w:pPr>
                              <w:spacing w:after="0"/>
                              <w:jc w:val="left"/>
                            </w:pPr>
                            <w:r w:rsidRPr="008B1595">
                              <w:t>DIRETOR</w:t>
                            </w:r>
                            <w:r w:rsidR="004541EE">
                              <w:t>A</w:t>
                            </w:r>
                            <w:r w:rsidRPr="008B1595">
                              <w:t xml:space="preserve"> DE PLANEJAMENTO ORÇAMENTÁRIO</w:t>
                            </w:r>
                          </w:p>
                          <w:p w:rsidR="00195FDE" w:rsidRPr="008B1595" w:rsidRDefault="00195FDE" w:rsidP="008B1595">
                            <w:pPr>
                              <w:spacing w:after="0"/>
                              <w:jc w:val="left"/>
                              <w:rPr>
                                <w:b/>
                              </w:rPr>
                            </w:pPr>
                            <w:proofErr w:type="spellStart"/>
                            <w:r>
                              <w:rPr>
                                <w:b/>
                              </w:rPr>
                              <w:t>Mayana</w:t>
                            </w:r>
                            <w:proofErr w:type="spellEnd"/>
                            <w:r>
                              <w:rPr>
                                <w:b/>
                              </w:rPr>
                              <w:t xml:space="preserve"> dos Anjos Damiani</w:t>
                            </w:r>
                          </w:p>
                          <w:p w:rsidR="00195FDE" w:rsidRPr="008B1595" w:rsidRDefault="00195FDE" w:rsidP="008B1595">
                            <w:pPr>
                              <w:spacing w:after="0"/>
                              <w:jc w:val="left"/>
                            </w:pPr>
                          </w:p>
                          <w:p w:rsidR="00195FDE" w:rsidRPr="008B1595" w:rsidRDefault="00195FDE" w:rsidP="008B1595">
                            <w:pPr>
                              <w:spacing w:after="0"/>
                              <w:jc w:val="left"/>
                            </w:pPr>
                            <w:r w:rsidRPr="008B1595">
                              <w:t>GERÊNCIA DE ELABORAÇÃO E ACOMPANHAMENTO DO ORÇAMENTO</w:t>
                            </w:r>
                          </w:p>
                          <w:p w:rsidR="00195FDE" w:rsidRPr="008B1595" w:rsidRDefault="00195FDE" w:rsidP="008B1595">
                            <w:pPr>
                              <w:spacing w:after="0"/>
                              <w:jc w:val="left"/>
                            </w:pPr>
                            <w:r>
                              <w:rPr>
                                <w:b/>
                              </w:rPr>
                              <w:t>Sandro Luiz Barbosa</w:t>
                            </w:r>
                          </w:p>
                          <w:p w:rsidR="00195FDE" w:rsidRPr="008B1595" w:rsidRDefault="00195FDE" w:rsidP="008B1595">
                            <w:pPr>
                              <w:spacing w:after="0"/>
                              <w:jc w:val="left"/>
                            </w:pPr>
                          </w:p>
                          <w:p w:rsidR="00195FDE" w:rsidRDefault="00195FDE" w:rsidP="000F4CE4">
                            <w:pPr>
                              <w:spacing w:after="0"/>
                              <w:jc w:val="left"/>
                            </w:pPr>
                            <w:r>
                              <w:t xml:space="preserve">Equipe: </w:t>
                            </w:r>
                          </w:p>
                          <w:p w:rsidR="00195FDE" w:rsidRPr="008A7B70" w:rsidRDefault="00195FDE" w:rsidP="000F4CE4">
                            <w:pPr>
                              <w:spacing w:after="0"/>
                              <w:jc w:val="left"/>
                              <w:rPr>
                                <w:b/>
                              </w:rPr>
                            </w:pPr>
                            <w:r w:rsidRPr="008A7B70">
                              <w:rPr>
                                <w:b/>
                              </w:rPr>
                              <w:t>Giuliano da Silveira Martins</w:t>
                            </w:r>
                          </w:p>
                          <w:p w:rsidR="00195FDE" w:rsidRPr="008A7B70" w:rsidRDefault="00195FDE" w:rsidP="000F4CE4">
                            <w:pPr>
                              <w:spacing w:after="0"/>
                              <w:jc w:val="left"/>
                              <w:rPr>
                                <w:b/>
                              </w:rPr>
                            </w:pPr>
                            <w:r w:rsidRPr="008A7B70">
                              <w:rPr>
                                <w:b/>
                              </w:rPr>
                              <w:t>Roberto Fialho</w:t>
                            </w:r>
                          </w:p>
                          <w:p w:rsidR="00195FDE" w:rsidRPr="008A7B70" w:rsidRDefault="00195FDE" w:rsidP="000F4CE4">
                            <w:pPr>
                              <w:spacing w:after="0"/>
                              <w:jc w:val="left"/>
                              <w:rPr>
                                <w:b/>
                              </w:rPr>
                            </w:pPr>
                            <w:r w:rsidRPr="008A7B70">
                              <w:rPr>
                                <w:b/>
                              </w:rPr>
                              <w:t>Rosi-Mari Ramos de Oliveira</w:t>
                            </w:r>
                          </w:p>
                          <w:p w:rsidR="00195FDE" w:rsidRPr="008A7B70" w:rsidRDefault="00195FDE" w:rsidP="000F4CE4">
                            <w:pPr>
                              <w:spacing w:after="0"/>
                              <w:jc w:val="left"/>
                              <w:rPr>
                                <w:b/>
                              </w:rPr>
                            </w:pPr>
                            <w:r w:rsidRPr="008A7B70">
                              <w:rPr>
                                <w:b/>
                              </w:rPr>
                              <w:t xml:space="preserve">Pedro </w:t>
                            </w:r>
                            <w:r w:rsidR="00133643">
                              <w:rPr>
                                <w:b/>
                              </w:rPr>
                              <w:t xml:space="preserve">Coelho </w:t>
                            </w:r>
                            <w:r w:rsidRPr="008A7B70">
                              <w:rPr>
                                <w:b/>
                              </w:rPr>
                              <w:t>Losso</w:t>
                            </w:r>
                            <w:r w:rsidR="00133643">
                              <w:rPr>
                                <w:b/>
                              </w:rPr>
                              <w:t xml:space="preserve"> </w:t>
                            </w:r>
                          </w:p>
                          <w:p w:rsidR="00195FDE" w:rsidRPr="008B1595" w:rsidRDefault="00195FDE" w:rsidP="000F4CE4">
                            <w:pPr>
                              <w:spacing w:after="0"/>
                              <w:jc w:val="left"/>
                            </w:pPr>
                          </w:p>
                          <w:p w:rsidR="00195FDE" w:rsidRPr="008B1595" w:rsidRDefault="00195FDE" w:rsidP="008B1595">
                            <w:pPr>
                              <w:spacing w:after="0"/>
                              <w:jc w:val="left"/>
                            </w:pPr>
                            <w:r w:rsidRPr="008B1595">
                              <w:t>GERÊNCIA DE EXECUÇÃO ORÇAMENTÁRIA</w:t>
                            </w:r>
                          </w:p>
                          <w:p w:rsidR="00195FDE" w:rsidRPr="008B1595" w:rsidRDefault="00195FDE" w:rsidP="008B1595">
                            <w:pPr>
                              <w:spacing w:after="0"/>
                              <w:jc w:val="left"/>
                            </w:pPr>
                            <w:r>
                              <w:rPr>
                                <w:b/>
                              </w:rPr>
                              <w:t>Luciano de Sousa Rodrigues da Fonseca</w:t>
                            </w:r>
                          </w:p>
                          <w:p w:rsidR="00195FDE" w:rsidRPr="008B1595" w:rsidRDefault="00195FDE" w:rsidP="008B1595">
                            <w:pPr>
                              <w:spacing w:after="0"/>
                              <w:jc w:val="left"/>
                            </w:pPr>
                          </w:p>
                          <w:p w:rsidR="00195FDE" w:rsidRPr="008B1595" w:rsidRDefault="00195FDE" w:rsidP="008B1595">
                            <w:pPr>
                              <w:spacing w:after="0"/>
                              <w:jc w:val="left"/>
                            </w:pPr>
                            <w:r w:rsidRPr="008B1595">
                              <w:t>GERÊNCIA DE ELABORAÇÃO E ACOMPANHAMENTO DO PPA</w:t>
                            </w:r>
                          </w:p>
                          <w:p w:rsidR="00195FDE" w:rsidRDefault="00195FDE" w:rsidP="008B1595">
                            <w:pPr>
                              <w:spacing w:after="0"/>
                              <w:jc w:val="left"/>
                              <w:rPr>
                                <w:b/>
                              </w:rPr>
                            </w:pPr>
                            <w:r w:rsidRPr="008B1595">
                              <w:rPr>
                                <w:b/>
                              </w:rPr>
                              <w:t>Cristina V</w:t>
                            </w:r>
                            <w:r>
                              <w:rPr>
                                <w:b/>
                              </w:rPr>
                              <w:t>.</w:t>
                            </w:r>
                            <w:r w:rsidRPr="008B1595">
                              <w:rPr>
                                <w:b/>
                              </w:rPr>
                              <w:t xml:space="preserve"> Rodrigues</w:t>
                            </w:r>
                          </w:p>
                          <w:p w:rsidR="00195FDE" w:rsidRDefault="00195FDE" w:rsidP="008B1595">
                            <w:pPr>
                              <w:spacing w:after="0"/>
                              <w:jc w:val="left"/>
                              <w:rPr>
                                <w:b/>
                              </w:rPr>
                            </w:pPr>
                          </w:p>
                          <w:p w:rsidR="00195FDE" w:rsidRPr="00DC7741" w:rsidRDefault="00195FDE" w:rsidP="006073C7">
                            <w:pPr>
                              <w:spacing w:after="0"/>
                            </w:pPr>
                            <w:r>
                              <w:t>ASSESSORA</w:t>
                            </w:r>
                            <w:r w:rsidRPr="00DC7741">
                              <w:t xml:space="preserve"> DE IMPRENSA </w:t>
                            </w:r>
                            <w:r>
                              <w:t xml:space="preserve">E </w:t>
                            </w:r>
                            <w:r w:rsidRPr="00DC7741">
                              <w:t>COMUNICAÇÃO</w:t>
                            </w:r>
                          </w:p>
                          <w:p w:rsidR="009F3406" w:rsidRDefault="009F3406" w:rsidP="009F3406">
                            <w:pPr>
                              <w:spacing w:after="0"/>
                              <w:rPr>
                                <w:b/>
                              </w:rPr>
                            </w:pPr>
                            <w:r>
                              <w:rPr>
                                <w:b/>
                              </w:rPr>
                              <w:t xml:space="preserve">Rosane </w:t>
                            </w:r>
                            <w:proofErr w:type="spellStart"/>
                            <w:r>
                              <w:rPr>
                                <w:b/>
                              </w:rPr>
                              <w:t>Felthaus</w:t>
                            </w:r>
                            <w:proofErr w:type="spellEnd"/>
                          </w:p>
                          <w:p w:rsidR="00195FDE" w:rsidRPr="00DC7741" w:rsidRDefault="009F3406" w:rsidP="006073C7">
                            <w:pPr>
                              <w:spacing w:after="0"/>
                            </w:pPr>
                            <w:proofErr w:type="spellStart"/>
                            <w:r>
                              <w:rPr>
                                <w:b/>
                              </w:rPr>
                              <w:t>Roelton</w:t>
                            </w:r>
                            <w:proofErr w:type="spellEnd"/>
                            <w:r>
                              <w:rPr>
                                <w:b/>
                              </w:rPr>
                              <w:t xml:space="preserve"> Maciel</w:t>
                            </w:r>
                          </w:p>
                          <w:p w:rsidR="00195FDE" w:rsidRPr="00DC7741" w:rsidRDefault="00195FDE" w:rsidP="006073C7">
                            <w:pPr>
                              <w:spacing w:after="0"/>
                              <w:rPr>
                                <w:b/>
                              </w:rPr>
                            </w:pPr>
                            <w:r w:rsidRPr="00DC7741">
                              <w:rPr>
                                <w:b/>
                              </w:rPr>
                              <w:t xml:space="preserve">Mariel </w:t>
                            </w:r>
                            <w:proofErr w:type="spellStart"/>
                            <w:r w:rsidRPr="00DC7741">
                              <w:rPr>
                                <w:b/>
                              </w:rPr>
                              <w:t>Maffessoni</w:t>
                            </w:r>
                            <w:proofErr w:type="spellEnd"/>
                            <w:r w:rsidRPr="00DC7741">
                              <w:rPr>
                                <w:b/>
                              </w:rPr>
                              <w:t xml:space="preserve"> Ramos </w:t>
                            </w:r>
                          </w:p>
                          <w:p w:rsidR="00195FDE" w:rsidRPr="008B1595" w:rsidRDefault="00195FDE" w:rsidP="008B1595">
                            <w:pPr>
                              <w:spacing w:after="0"/>
                              <w:jc w:val="left"/>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1" o:spid="_x0000_s1027" type="#_x0000_t202" style="position:absolute;left:0;text-align:left;margin-left:10.8pt;margin-top:64.9pt;width:458.25pt;height:41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" fillcolor="white [3201]" stroked="f" strokeweight=".5pt">
                <v:textbox>
                  <w:txbxContent>
                    <w:p w:rsidR="00195FDE" w:rsidRPr="008B1595" w:rsidRDefault="00195FDE" w:rsidP="008B1595">
                      <w:pPr>
                        <w:spacing w:after="0"/>
                        <w:jc w:val="left"/>
                      </w:pPr>
                      <w:r w:rsidRPr="008B1595">
                        <w:t>SECRETÁRIO DE ESTADO DA FAZENDA</w:t>
                      </w:r>
                    </w:p>
                    <w:p w:rsidR="00195FDE" w:rsidRPr="008B1595" w:rsidRDefault="00195FDE" w:rsidP="008B1595">
                      <w:pPr>
                        <w:spacing w:after="0"/>
                        <w:jc w:val="left"/>
                        <w:rPr>
                          <w:b/>
                        </w:rPr>
                      </w:pPr>
                      <w:proofErr w:type="spellStart"/>
                      <w:r>
                        <w:rPr>
                          <w:b/>
                        </w:rPr>
                        <w:t>Cleverson</w:t>
                      </w:r>
                      <w:proofErr w:type="spellEnd"/>
                      <w:r>
                        <w:rPr>
                          <w:b/>
                        </w:rPr>
                        <w:t xml:space="preserve"> </w:t>
                      </w:r>
                      <w:proofErr w:type="spellStart"/>
                      <w:r>
                        <w:rPr>
                          <w:b/>
                        </w:rPr>
                        <w:t>Siewert</w:t>
                      </w:r>
                      <w:proofErr w:type="spellEnd"/>
                    </w:p>
                    <w:p w:rsidR="00195FDE" w:rsidRPr="008B1595" w:rsidRDefault="00195FDE" w:rsidP="008B1595">
                      <w:pPr>
                        <w:spacing w:after="0"/>
                        <w:jc w:val="left"/>
                      </w:pPr>
                    </w:p>
                    <w:p w:rsidR="00195FDE" w:rsidRPr="008B1595" w:rsidRDefault="004541EE" w:rsidP="008B1595">
                      <w:pPr>
                        <w:spacing w:after="0"/>
                        <w:jc w:val="left"/>
                      </w:pPr>
                      <w:r>
                        <w:t>SECRETÁRIO</w:t>
                      </w:r>
                      <w:r w:rsidR="00195FDE" w:rsidRPr="008B1595">
                        <w:t xml:space="preserve"> ADJUNT</w:t>
                      </w:r>
                      <w:r>
                        <w:t>O</w:t>
                      </w:r>
                    </w:p>
                    <w:p w:rsidR="00195FDE" w:rsidRPr="008B1595" w:rsidRDefault="00195FDE" w:rsidP="008B1595">
                      <w:pPr>
                        <w:spacing w:after="0"/>
                        <w:jc w:val="left"/>
                        <w:rPr>
                          <w:b/>
                        </w:rPr>
                      </w:pPr>
                      <w:r>
                        <w:rPr>
                          <w:b/>
                        </w:rPr>
                        <w:t xml:space="preserve">Augusto </w:t>
                      </w:r>
                      <w:proofErr w:type="spellStart"/>
                      <w:r>
                        <w:rPr>
                          <w:b/>
                        </w:rPr>
                        <w:t>Puhl</w:t>
                      </w:r>
                      <w:proofErr w:type="spellEnd"/>
                      <w:r>
                        <w:rPr>
                          <w:b/>
                        </w:rPr>
                        <w:t xml:space="preserve"> Piazza</w:t>
                      </w:r>
                    </w:p>
                    <w:p w:rsidR="00195FDE" w:rsidRPr="008B1595" w:rsidRDefault="00195FDE" w:rsidP="008B1595">
                      <w:pPr>
                        <w:spacing w:after="0"/>
                        <w:jc w:val="left"/>
                      </w:pPr>
                    </w:p>
                    <w:p w:rsidR="00195FDE" w:rsidRPr="008B1595" w:rsidRDefault="00195FDE" w:rsidP="008B1595">
                      <w:pPr>
                        <w:spacing w:after="0"/>
                        <w:jc w:val="left"/>
                      </w:pPr>
                      <w:r w:rsidRPr="008B1595">
                        <w:t>DIRETOR</w:t>
                      </w:r>
                      <w:r w:rsidR="004541EE">
                        <w:t>A</w:t>
                      </w:r>
                      <w:r w:rsidRPr="008B1595">
                        <w:t xml:space="preserve"> DE PLANEJAMENTO ORÇAMENTÁRIO</w:t>
                      </w:r>
                    </w:p>
                    <w:p w:rsidR="00195FDE" w:rsidRPr="008B1595" w:rsidRDefault="00195FDE" w:rsidP="008B1595">
                      <w:pPr>
                        <w:spacing w:after="0"/>
                        <w:jc w:val="left"/>
                        <w:rPr>
                          <w:b/>
                        </w:rPr>
                      </w:pPr>
                      <w:proofErr w:type="spellStart"/>
                      <w:r>
                        <w:rPr>
                          <w:b/>
                        </w:rPr>
                        <w:t>Mayana</w:t>
                      </w:r>
                      <w:proofErr w:type="spellEnd"/>
                      <w:r>
                        <w:rPr>
                          <w:b/>
                        </w:rPr>
                        <w:t xml:space="preserve"> dos Anjos Damiani</w:t>
                      </w:r>
                    </w:p>
                    <w:p w:rsidR="00195FDE" w:rsidRPr="008B1595" w:rsidRDefault="00195FDE" w:rsidP="008B1595">
                      <w:pPr>
                        <w:spacing w:after="0"/>
                        <w:jc w:val="left"/>
                      </w:pPr>
                    </w:p>
                    <w:p w:rsidR="00195FDE" w:rsidRPr="008B1595" w:rsidRDefault="00195FDE" w:rsidP="008B1595">
                      <w:pPr>
                        <w:spacing w:after="0"/>
                        <w:jc w:val="left"/>
                      </w:pPr>
                      <w:r w:rsidRPr="008B1595">
                        <w:t>GERÊNCIA DE ELABORAÇÃO E ACOMPANHAMENTO DO ORÇAMENTO</w:t>
                      </w:r>
                    </w:p>
                    <w:p w:rsidR="00195FDE" w:rsidRPr="008B1595" w:rsidRDefault="00195FDE" w:rsidP="008B1595">
                      <w:pPr>
                        <w:spacing w:after="0"/>
                        <w:jc w:val="left"/>
                      </w:pPr>
                      <w:r>
                        <w:rPr>
                          <w:b/>
                        </w:rPr>
                        <w:t>Sandro Luiz Barbosa</w:t>
                      </w:r>
                    </w:p>
                    <w:p w:rsidR="00195FDE" w:rsidRPr="008B1595" w:rsidRDefault="00195FDE" w:rsidP="008B1595">
                      <w:pPr>
                        <w:spacing w:after="0"/>
                        <w:jc w:val="left"/>
                      </w:pPr>
                    </w:p>
                    <w:p w:rsidR="00195FDE" w:rsidRDefault="00195FDE" w:rsidP="000F4CE4">
                      <w:pPr>
                        <w:spacing w:after="0"/>
                        <w:jc w:val="left"/>
                      </w:pPr>
                      <w:r>
                        <w:t xml:space="preserve">Equipe: </w:t>
                      </w:r>
                    </w:p>
                    <w:p w:rsidR="00195FDE" w:rsidRPr="008A7B70" w:rsidRDefault="00195FDE" w:rsidP="000F4CE4">
                      <w:pPr>
                        <w:spacing w:after="0"/>
                        <w:jc w:val="left"/>
                        <w:rPr>
                          <w:b/>
                        </w:rPr>
                      </w:pPr>
                      <w:r w:rsidRPr="008A7B70">
                        <w:rPr>
                          <w:b/>
                        </w:rPr>
                        <w:t>Giuliano da Silveira Martins</w:t>
                      </w:r>
                    </w:p>
                    <w:p w:rsidR="00195FDE" w:rsidRPr="008A7B70" w:rsidRDefault="00195FDE" w:rsidP="000F4CE4">
                      <w:pPr>
                        <w:spacing w:after="0"/>
                        <w:jc w:val="left"/>
                        <w:rPr>
                          <w:b/>
                        </w:rPr>
                      </w:pPr>
                      <w:r w:rsidRPr="008A7B70">
                        <w:rPr>
                          <w:b/>
                        </w:rPr>
                        <w:t>Roberto Fialho</w:t>
                      </w:r>
                    </w:p>
                    <w:p w:rsidR="00195FDE" w:rsidRPr="008A7B70" w:rsidRDefault="00195FDE" w:rsidP="000F4CE4">
                      <w:pPr>
                        <w:spacing w:after="0"/>
                        <w:jc w:val="left"/>
                        <w:rPr>
                          <w:b/>
                        </w:rPr>
                      </w:pPr>
                      <w:r w:rsidRPr="008A7B70">
                        <w:rPr>
                          <w:b/>
                        </w:rPr>
                        <w:t>Rosi-Mari Ramos de Oliveira</w:t>
                      </w:r>
                    </w:p>
                    <w:p w:rsidR="00195FDE" w:rsidRPr="008A7B70" w:rsidRDefault="00195FDE" w:rsidP="000F4CE4">
                      <w:pPr>
                        <w:spacing w:after="0"/>
                        <w:jc w:val="left"/>
                        <w:rPr>
                          <w:b/>
                        </w:rPr>
                      </w:pPr>
                      <w:r w:rsidRPr="008A7B70">
                        <w:rPr>
                          <w:b/>
                        </w:rPr>
                        <w:t xml:space="preserve">Pedro </w:t>
                      </w:r>
                      <w:r w:rsidR="00133643">
                        <w:rPr>
                          <w:b/>
                        </w:rPr>
                        <w:t xml:space="preserve">Coelho </w:t>
                      </w:r>
                      <w:r w:rsidRPr="008A7B70">
                        <w:rPr>
                          <w:b/>
                        </w:rPr>
                        <w:t>Losso</w:t>
                      </w:r>
                      <w:r w:rsidR="00133643">
                        <w:rPr>
                          <w:b/>
                        </w:rPr>
                        <w:t xml:space="preserve"> </w:t>
                      </w:r>
                    </w:p>
                    <w:p w:rsidR="00195FDE" w:rsidRPr="008B1595" w:rsidRDefault="00195FDE" w:rsidP="000F4CE4">
                      <w:pPr>
                        <w:spacing w:after="0"/>
                        <w:jc w:val="left"/>
                      </w:pPr>
                    </w:p>
                    <w:p w:rsidR="00195FDE" w:rsidRPr="008B1595" w:rsidRDefault="00195FDE" w:rsidP="008B1595">
                      <w:pPr>
                        <w:spacing w:after="0"/>
                        <w:jc w:val="left"/>
                      </w:pPr>
                      <w:r w:rsidRPr="008B1595">
                        <w:t>GERÊNCIA DE EXECUÇÃO ORÇAMENTÁRIA</w:t>
                      </w:r>
                    </w:p>
                    <w:p w:rsidR="00195FDE" w:rsidRPr="008B1595" w:rsidRDefault="00195FDE" w:rsidP="008B1595">
                      <w:pPr>
                        <w:spacing w:after="0"/>
                        <w:jc w:val="left"/>
                      </w:pPr>
                      <w:r>
                        <w:rPr>
                          <w:b/>
                        </w:rPr>
                        <w:t>Luciano de Sousa Rodrigues da Fonseca</w:t>
                      </w:r>
                    </w:p>
                    <w:p w:rsidR="00195FDE" w:rsidRPr="008B1595" w:rsidRDefault="00195FDE" w:rsidP="008B1595">
                      <w:pPr>
                        <w:spacing w:after="0"/>
                        <w:jc w:val="left"/>
                      </w:pPr>
                    </w:p>
                    <w:p w:rsidR="00195FDE" w:rsidRPr="008B1595" w:rsidRDefault="00195FDE" w:rsidP="008B1595">
                      <w:pPr>
                        <w:spacing w:after="0"/>
                        <w:jc w:val="left"/>
                      </w:pPr>
                      <w:r w:rsidRPr="008B1595">
                        <w:t>GERÊNCIA DE ELABORAÇÃO E ACOMPANHAMENTO DO PPA</w:t>
                      </w:r>
                    </w:p>
                    <w:p w:rsidR="00195FDE" w:rsidRDefault="00195FDE" w:rsidP="008B1595">
                      <w:pPr>
                        <w:spacing w:after="0"/>
                        <w:jc w:val="left"/>
                        <w:rPr>
                          <w:b/>
                        </w:rPr>
                      </w:pPr>
                      <w:r w:rsidRPr="008B1595">
                        <w:rPr>
                          <w:b/>
                        </w:rPr>
                        <w:t>Cristina V</w:t>
                      </w:r>
                      <w:r>
                        <w:rPr>
                          <w:b/>
                        </w:rPr>
                        <w:t>.</w:t>
                      </w:r>
                      <w:r w:rsidRPr="008B1595">
                        <w:rPr>
                          <w:b/>
                        </w:rPr>
                        <w:t xml:space="preserve"> Rodrigues</w:t>
                      </w:r>
                    </w:p>
                    <w:p w:rsidR="00195FDE" w:rsidRDefault="00195FDE" w:rsidP="008B1595">
                      <w:pPr>
                        <w:spacing w:after="0"/>
                        <w:jc w:val="left"/>
                        <w:rPr>
                          <w:b/>
                        </w:rPr>
                      </w:pPr>
                    </w:p>
                    <w:p w:rsidR="00195FDE" w:rsidRPr="00DC7741" w:rsidRDefault="00195FDE" w:rsidP="006073C7">
                      <w:pPr>
                        <w:spacing w:after="0"/>
                      </w:pPr>
                      <w:r>
                        <w:t>ASSESSORA</w:t>
                      </w:r>
                      <w:r w:rsidRPr="00DC7741">
                        <w:t xml:space="preserve"> DE IMPRENSA </w:t>
                      </w:r>
                      <w:r>
                        <w:t xml:space="preserve">E </w:t>
                      </w:r>
                      <w:r w:rsidRPr="00DC7741">
                        <w:t>COMUNICAÇÃO</w:t>
                      </w:r>
                    </w:p>
                    <w:p w:rsidR="009F3406" w:rsidRDefault="009F3406" w:rsidP="009F3406">
                      <w:pPr>
                        <w:spacing w:after="0"/>
                        <w:rPr>
                          <w:b/>
                        </w:rPr>
                      </w:pPr>
                      <w:r>
                        <w:rPr>
                          <w:b/>
                        </w:rPr>
                        <w:t xml:space="preserve">Rosane </w:t>
                      </w:r>
                      <w:proofErr w:type="spellStart"/>
                      <w:r>
                        <w:rPr>
                          <w:b/>
                        </w:rPr>
                        <w:t>Felthaus</w:t>
                      </w:r>
                      <w:proofErr w:type="spellEnd"/>
                    </w:p>
                    <w:p w:rsidR="00195FDE" w:rsidRPr="00DC7741" w:rsidRDefault="009F3406" w:rsidP="006073C7">
                      <w:pPr>
                        <w:spacing w:after="0"/>
                      </w:pPr>
                      <w:proofErr w:type="spellStart"/>
                      <w:r>
                        <w:rPr>
                          <w:b/>
                        </w:rPr>
                        <w:t>Roelton</w:t>
                      </w:r>
                      <w:proofErr w:type="spellEnd"/>
                      <w:r>
                        <w:rPr>
                          <w:b/>
                        </w:rPr>
                        <w:t xml:space="preserve"> Maciel</w:t>
                      </w:r>
                      <w:bookmarkStart w:id="1" w:name="_GoBack"/>
                      <w:bookmarkEnd w:id="1"/>
                    </w:p>
                    <w:p w:rsidR="00195FDE" w:rsidRPr="00DC7741" w:rsidRDefault="00195FDE" w:rsidP="006073C7">
                      <w:pPr>
                        <w:spacing w:after="0"/>
                        <w:rPr>
                          <w:b/>
                        </w:rPr>
                      </w:pPr>
                      <w:r w:rsidRPr="00DC7741">
                        <w:rPr>
                          <w:b/>
                        </w:rPr>
                        <w:t xml:space="preserve">Mariel </w:t>
                      </w:r>
                      <w:proofErr w:type="spellStart"/>
                      <w:r w:rsidRPr="00DC7741">
                        <w:rPr>
                          <w:b/>
                        </w:rPr>
                        <w:t>Maffessoni</w:t>
                      </w:r>
                      <w:proofErr w:type="spellEnd"/>
                      <w:r w:rsidRPr="00DC7741">
                        <w:rPr>
                          <w:b/>
                        </w:rPr>
                        <w:t xml:space="preserve"> Ramos </w:t>
                      </w:r>
                    </w:p>
                    <w:p w:rsidR="00195FDE" w:rsidRPr="008B1595" w:rsidRDefault="00195FDE" w:rsidP="008B1595">
                      <w:pPr>
                        <w:spacing w:after="0"/>
                        <w:jc w:val="left"/>
                        <w:rPr>
                          <w:b/>
                        </w:rPr>
                      </w:pPr>
                    </w:p>
                  </w:txbxContent>
                </v:textbox>
              </v:shape>
            </w:pict>
          </mc:Fallback>
        </mc:AlternateContent>
      </w:r>
      <w:r>
        <w:rPr>
          <w:noProof/>
          <w:lang w:eastAsia="pt-BR"/>
        </w:rPr>
        <mc:AlternateContent>
          <mc:Choice Requires="wps">
            <w:drawing>
              <wp:anchor distT="0" distB="0" distL="114300" distR="114300" simplePos="0" relativeHeight="251986944" behindDoc="0" locked="0" layoutInCell="1" allowOverlap="1" wp14:anchorId="21A95E86" wp14:editId="799C0A8D">
                <wp:simplePos x="0" y="0"/>
                <wp:positionH relativeFrom="margin">
                  <wp:align>center</wp:align>
                </wp:positionH>
                <wp:positionV relativeFrom="paragraph">
                  <wp:posOffset>6463141</wp:posOffset>
                </wp:positionV>
                <wp:extent cx="5457825" cy="1214323"/>
                <wp:effectExtent l="0" t="0" r="28575" b="24130"/>
                <wp:wrapNone/>
                <wp:docPr id="3" name="Caixa de Texto 3"/>
                <wp:cNvGraphicFramePr/>
                <a:graphic xmlns:a="http://schemas.openxmlformats.org/drawingml/2006/main">
                  <a:graphicData uri="http://schemas.microsoft.com/office/word/2010/wordprocessingShape">
                    <wps:wsp>
                      <wps:cNvSpPr txBox="1"/>
                      <wps:spPr>
                        <a:xfrm>
                          <a:off x="0" y="0"/>
                          <a:ext cx="5457825" cy="1214323"/>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195FDE" w:rsidRPr="00B70EAC" w:rsidRDefault="00195FDE" w:rsidP="006073C7">
                            <w:pPr>
                              <w:rPr>
                                <w:b/>
                                <w:color w:val="0F6FC6" w:themeColor="accent1"/>
                              </w:rPr>
                            </w:pPr>
                            <w:r w:rsidRPr="00B70EAC">
                              <w:rPr>
                                <w:b/>
                                <w:color w:val="0F6FC6" w:themeColor="accent1"/>
                              </w:rPr>
                              <w:t>INFORMAÇÕES</w:t>
                            </w:r>
                          </w:p>
                          <w:p w:rsidR="00195FDE" w:rsidRDefault="00195FDE" w:rsidP="006073C7">
                            <w:pPr>
                              <w:spacing w:after="0"/>
                              <w:rPr>
                                <w:sz w:val="20"/>
                                <w:szCs w:val="20"/>
                              </w:rPr>
                            </w:pPr>
                            <w:r w:rsidRPr="008B1595">
                              <w:rPr>
                                <w:sz w:val="20"/>
                                <w:szCs w:val="20"/>
                              </w:rPr>
                              <w:t xml:space="preserve">Gerência de </w:t>
                            </w:r>
                            <w:r>
                              <w:rPr>
                                <w:sz w:val="20"/>
                                <w:szCs w:val="20"/>
                              </w:rPr>
                              <w:t>Elaboração e Acompanhamento do Orçamento – GEORC</w:t>
                            </w:r>
                          </w:p>
                          <w:p w:rsidR="00195FDE" w:rsidRDefault="00195FDE" w:rsidP="006073C7">
                            <w:pPr>
                              <w:spacing w:after="0"/>
                              <w:rPr>
                                <w:sz w:val="20"/>
                                <w:szCs w:val="20"/>
                              </w:rPr>
                            </w:pPr>
                            <w:r w:rsidRPr="00B70EAC">
                              <w:rPr>
                                <w:b/>
                                <w:sz w:val="20"/>
                                <w:szCs w:val="20"/>
                              </w:rPr>
                              <w:t>E-mail</w:t>
                            </w:r>
                            <w:r>
                              <w:rPr>
                                <w:sz w:val="20"/>
                                <w:szCs w:val="20"/>
                              </w:rPr>
                              <w:t>: georc@sef.sc.gov.br</w:t>
                            </w:r>
                          </w:p>
                          <w:p w:rsidR="00195FDE" w:rsidRDefault="00195FDE" w:rsidP="006073C7">
                            <w:pPr>
                              <w:spacing w:after="0"/>
                              <w:rPr>
                                <w:sz w:val="20"/>
                                <w:szCs w:val="20"/>
                              </w:rPr>
                            </w:pPr>
                          </w:p>
                          <w:p w:rsidR="00195FDE" w:rsidRDefault="00195FDE" w:rsidP="006073C7">
                            <w:pPr>
                              <w:spacing w:after="0"/>
                              <w:rPr>
                                <w:sz w:val="20"/>
                                <w:szCs w:val="20"/>
                              </w:rPr>
                            </w:pPr>
                            <w:r>
                              <w:rPr>
                                <w:sz w:val="20"/>
                                <w:szCs w:val="20"/>
                              </w:rPr>
                              <w:t xml:space="preserve">Manual Técnico 03 – </w:t>
                            </w:r>
                            <w:r w:rsidRPr="006073C7">
                              <w:rPr>
                                <w:sz w:val="20"/>
                                <w:szCs w:val="20"/>
                              </w:rPr>
                              <w:t>Cotas Orçamentárias e Fixação da Despesa para o Exercício de 202</w:t>
                            </w:r>
                            <w:r>
                              <w:rPr>
                                <w:sz w:val="20"/>
                                <w:szCs w:val="20"/>
                              </w:rPr>
                              <w:t xml:space="preserve">4. Versão 1.  Florianópolis, </w:t>
                            </w:r>
                            <w:proofErr w:type="gramStart"/>
                            <w:r>
                              <w:rPr>
                                <w:sz w:val="20"/>
                                <w:szCs w:val="20"/>
                              </w:rPr>
                              <w:t>Maio</w:t>
                            </w:r>
                            <w:proofErr w:type="gramEnd"/>
                            <w:r>
                              <w:rPr>
                                <w:sz w:val="20"/>
                                <w:szCs w:val="20"/>
                              </w:rPr>
                              <w:t xml:space="preserve"> de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95E86" id="Caixa de Texto 3" o:spid="_x0000_s1027" type="#_x0000_t202" style="position:absolute;left:0;text-align:left;margin-left:0;margin-top:508.9pt;width:429.75pt;height:95.6pt;z-index:251986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" fillcolor="white [3201]" strokecolor="#0f6fc6 [3204]" strokeweight="1pt">
                <v:textbox>
                  <w:txbxContent>
                    <w:p w:rsidR="00195FDE" w:rsidRPr="00B70EAC" w:rsidRDefault="00195FDE" w:rsidP="006073C7">
                      <w:pPr>
                        <w:rPr>
                          <w:b/>
                          <w:color w:val="0F6FC6" w:themeColor="accent1"/>
                        </w:rPr>
                      </w:pPr>
                      <w:r w:rsidRPr="00B70EAC">
                        <w:rPr>
                          <w:b/>
                          <w:color w:val="0F6FC6" w:themeColor="accent1"/>
                        </w:rPr>
                        <w:t>INFORMAÇÕES</w:t>
                      </w:r>
                    </w:p>
                    <w:p w:rsidR="00195FDE" w:rsidRDefault="00195FDE" w:rsidP="006073C7">
                      <w:pPr>
                        <w:spacing w:after="0"/>
                        <w:rPr>
                          <w:sz w:val="20"/>
                          <w:szCs w:val="20"/>
                        </w:rPr>
                      </w:pPr>
                      <w:r w:rsidRPr="008B1595">
                        <w:rPr>
                          <w:sz w:val="20"/>
                          <w:szCs w:val="20"/>
                        </w:rPr>
                        <w:t xml:space="preserve">Gerência de </w:t>
                      </w:r>
                      <w:r>
                        <w:rPr>
                          <w:sz w:val="20"/>
                          <w:szCs w:val="20"/>
                        </w:rPr>
                        <w:t>Elaboração e Acompanhamento do Orçamento – GEORC</w:t>
                      </w:r>
                    </w:p>
                    <w:p w:rsidR="00195FDE" w:rsidRDefault="00195FDE" w:rsidP="006073C7">
                      <w:pPr>
                        <w:spacing w:after="0"/>
                        <w:rPr>
                          <w:sz w:val="20"/>
                          <w:szCs w:val="20"/>
                        </w:rPr>
                      </w:pPr>
                      <w:r w:rsidRPr="00B70EAC">
                        <w:rPr>
                          <w:b/>
                          <w:sz w:val="20"/>
                          <w:szCs w:val="20"/>
                        </w:rPr>
                        <w:t>E-mail</w:t>
                      </w:r>
                      <w:r>
                        <w:rPr>
                          <w:sz w:val="20"/>
                          <w:szCs w:val="20"/>
                        </w:rPr>
                        <w:t>: georc@sef.sc.gov.br</w:t>
                      </w:r>
                    </w:p>
                    <w:p w:rsidR="00195FDE" w:rsidRDefault="00195FDE" w:rsidP="006073C7">
                      <w:pPr>
                        <w:spacing w:after="0"/>
                        <w:rPr>
                          <w:sz w:val="20"/>
                          <w:szCs w:val="20"/>
                        </w:rPr>
                      </w:pPr>
                    </w:p>
                    <w:p w:rsidR="00195FDE" w:rsidRDefault="00195FDE" w:rsidP="006073C7">
                      <w:pPr>
                        <w:spacing w:after="0"/>
                        <w:rPr>
                          <w:sz w:val="20"/>
                          <w:szCs w:val="20"/>
                        </w:rPr>
                      </w:pPr>
                      <w:r>
                        <w:rPr>
                          <w:sz w:val="20"/>
                          <w:szCs w:val="20"/>
                        </w:rPr>
                        <w:t xml:space="preserve">Manual Técnico 03 – </w:t>
                      </w:r>
                      <w:r w:rsidRPr="006073C7">
                        <w:rPr>
                          <w:sz w:val="20"/>
                          <w:szCs w:val="20"/>
                        </w:rPr>
                        <w:t>Cotas Orçamentárias e Fixação da Despesa para o Exercício de 202</w:t>
                      </w:r>
                      <w:r>
                        <w:rPr>
                          <w:sz w:val="20"/>
                          <w:szCs w:val="20"/>
                        </w:rPr>
                        <w:t>4. Versão 1.  Florianópolis, Maio de 2023.</w:t>
                      </w:r>
                    </w:p>
                  </w:txbxContent>
                </v:textbox>
                <w10:wrap anchorx="margin"/>
              </v:shape>
            </w:pict>
          </mc:Fallback>
        </mc:AlternateContent>
      </w:r>
      <w:r w:rsidR="005D05F6">
        <w:br w:type="page"/>
      </w:r>
    </w:p>
    <w:p w:rsidR="005756C5" w:rsidRDefault="005756C5">
      <w:pPr>
        <w:sectPr w:rsidR="005756C5" w:rsidSect="00CA6351">
          <w:headerReference w:type="even" r:id="rId11"/>
          <w:headerReference w:type="default" r:id="rId12"/>
          <w:footerReference w:type="even" r:id="rId13"/>
          <w:footerReference w:type="default" r:id="rId14"/>
          <w:headerReference w:type="first" r:id="rId15"/>
          <w:footerReference w:type="first" r:id="rId16"/>
          <w:pgSz w:w="11906" w:h="16838"/>
          <w:pgMar w:top="1134" w:right="1134" w:bottom="1134" w:left="1134" w:header="708" w:footer="708" w:gutter="0"/>
          <w:cols w:space="708"/>
          <w:docGrid w:linePitch="360"/>
        </w:sectPr>
      </w:pPr>
    </w:p>
    <w:sdt>
      <w:sdtPr>
        <w:rPr>
          <w:rFonts w:ascii="Evolventa" w:hAnsi="Evolventa"/>
          <w:color w:val="auto"/>
          <w:sz w:val="22"/>
          <w:szCs w:val="22"/>
          <w:lang w:eastAsia="en-US"/>
        </w:rPr>
        <w:id w:val="875426682"/>
        <w:docPartObj>
          <w:docPartGallery w:val="Table of Contents"/>
          <w:docPartUnique/>
        </w:docPartObj>
      </w:sdtPr>
      <w:sdtEndPr>
        <w:rPr>
          <w:b/>
          <w:bCs/>
        </w:rPr>
      </w:sdtEndPr>
      <w:sdtContent>
        <w:p w:rsidR="005756C5" w:rsidRPr="00CF3DAF" w:rsidRDefault="005756C5">
          <w:pPr>
            <w:pStyle w:val="CabealhodoSumrio"/>
            <w:rPr>
              <w:rFonts w:ascii="Ebrima" w:hAnsi="Ebrima"/>
              <w:b/>
              <w:color w:val="0F6FC6" w:themeColor="accent1"/>
              <w:sz w:val="36"/>
              <w:szCs w:val="24"/>
            </w:rPr>
          </w:pPr>
          <w:r w:rsidRPr="00CF3DAF">
            <w:rPr>
              <w:rFonts w:ascii="Ebrima" w:hAnsi="Ebrima"/>
              <w:b/>
              <w:color w:val="0F6FC6" w:themeColor="accent1"/>
              <w:sz w:val="36"/>
              <w:szCs w:val="24"/>
            </w:rPr>
            <w:t>SUMÁRIO</w:t>
          </w:r>
        </w:p>
        <w:p w:rsidR="00AD0C57" w:rsidRDefault="005756C5">
          <w:pPr>
            <w:pStyle w:val="Sumrio1"/>
            <w:rPr>
              <w:rFonts w:asciiTheme="minorHAnsi" w:eastAsiaTheme="minorEastAsia" w:hAnsiTheme="minorHAnsi"/>
              <w:lang w:eastAsia="pt-BR"/>
            </w:rPr>
          </w:pPr>
          <w:r w:rsidRPr="00737FF4">
            <w:rPr>
              <w:b/>
              <w:bCs/>
              <w:sz w:val="18"/>
              <w:szCs w:val="18"/>
            </w:rPr>
            <w:fldChar w:fldCharType="begin"/>
          </w:r>
          <w:r w:rsidRPr="00737FF4">
            <w:rPr>
              <w:b/>
              <w:bCs/>
              <w:sz w:val="18"/>
              <w:szCs w:val="18"/>
            </w:rPr>
            <w:instrText xml:space="preserve"> TOC \o "1-3" \h \z \u </w:instrText>
          </w:r>
          <w:r w:rsidRPr="00737FF4">
            <w:rPr>
              <w:b/>
              <w:bCs/>
              <w:sz w:val="18"/>
              <w:szCs w:val="18"/>
            </w:rPr>
            <w:fldChar w:fldCharType="separate"/>
          </w:r>
          <w:hyperlink w:anchor="_Toc106119007" w:history="1">
            <w:r w:rsidR="00AD0C57" w:rsidRPr="00A4181B">
              <w:rPr>
                <w:rStyle w:val="Hyperlink"/>
                <w:rFonts w:ascii="Ebrima" w:hAnsi="Ebrima"/>
                <w:b/>
              </w:rPr>
              <w:t>APRESENTAÇÃO</w:t>
            </w:r>
            <w:r w:rsidR="00AD0C57">
              <w:rPr>
                <w:webHidden/>
              </w:rPr>
              <w:tab/>
            </w:r>
            <w:r w:rsidR="00AD0C57">
              <w:rPr>
                <w:webHidden/>
              </w:rPr>
              <w:fldChar w:fldCharType="begin"/>
            </w:r>
            <w:r w:rsidR="00AD0C57">
              <w:rPr>
                <w:webHidden/>
              </w:rPr>
              <w:instrText xml:space="preserve"> PAGEREF _Toc106119007 \h </w:instrText>
            </w:r>
            <w:r w:rsidR="00AD0C57">
              <w:rPr>
                <w:webHidden/>
              </w:rPr>
            </w:r>
            <w:r w:rsidR="00AD0C57">
              <w:rPr>
                <w:webHidden/>
              </w:rPr>
              <w:fldChar w:fldCharType="separate"/>
            </w:r>
            <w:r w:rsidR="00883D27">
              <w:rPr>
                <w:webHidden/>
              </w:rPr>
              <w:t>3</w:t>
            </w:r>
            <w:r w:rsidR="00AD0C57">
              <w:rPr>
                <w:webHidden/>
              </w:rPr>
              <w:fldChar w:fldCharType="end"/>
            </w:r>
          </w:hyperlink>
        </w:p>
        <w:p w:rsidR="00AD0C57" w:rsidRDefault="00D7544B">
          <w:pPr>
            <w:pStyle w:val="Sumrio1"/>
            <w:rPr>
              <w:rFonts w:asciiTheme="minorHAnsi" w:eastAsiaTheme="minorEastAsia" w:hAnsiTheme="minorHAnsi"/>
              <w:lang w:eastAsia="pt-BR"/>
            </w:rPr>
          </w:pPr>
          <w:hyperlink w:anchor="_Toc106119008" w:history="1">
            <w:r w:rsidR="00AD0C57" w:rsidRPr="00A4181B">
              <w:rPr>
                <w:rStyle w:val="Hyperlink"/>
                <w:b/>
              </w:rPr>
              <w:t xml:space="preserve"> </w:t>
            </w:r>
            <w:r w:rsidR="00AD0C57" w:rsidRPr="00A4181B">
              <w:rPr>
                <w:rStyle w:val="Hyperlink"/>
                <w:rFonts w:ascii="Ebrima" w:hAnsi="Ebrima"/>
                <w:b/>
              </w:rPr>
              <w:t>INTRODUÇÃO</w:t>
            </w:r>
            <w:r w:rsidR="00AD0C57">
              <w:rPr>
                <w:webHidden/>
              </w:rPr>
              <w:tab/>
            </w:r>
            <w:r w:rsidR="00AD0C57">
              <w:rPr>
                <w:webHidden/>
              </w:rPr>
              <w:fldChar w:fldCharType="begin"/>
            </w:r>
            <w:r w:rsidR="00AD0C57">
              <w:rPr>
                <w:webHidden/>
              </w:rPr>
              <w:instrText xml:space="preserve"> PAGEREF _Toc106119008 \h </w:instrText>
            </w:r>
            <w:r w:rsidR="00AD0C57">
              <w:rPr>
                <w:webHidden/>
              </w:rPr>
            </w:r>
            <w:r w:rsidR="00AD0C57">
              <w:rPr>
                <w:webHidden/>
              </w:rPr>
              <w:fldChar w:fldCharType="separate"/>
            </w:r>
            <w:r w:rsidR="00883D27">
              <w:rPr>
                <w:webHidden/>
              </w:rPr>
              <w:t>4</w:t>
            </w:r>
            <w:r w:rsidR="00AD0C57">
              <w:rPr>
                <w:webHidden/>
              </w:rPr>
              <w:fldChar w:fldCharType="end"/>
            </w:r>
          </w:hyperlink>
        </w:p>
        <w:p w:rsidR="00AD0C57" w:rsidRDefault="00D7544B">
          <w:pPr>
            <w:pStyle w:val="Sumrio1"/>
            <w:rPr>
              <w:rFonts w:asciiTheme="minorHAnsi" w:eastAsiaTheme="minorEastAsia" w:hAnsiTheme="minorHAnsi"/>
              <w:lang w:eastAsia="pt-BR"/>
            </w:rPr>
          </w:pPr>
          <w:hyperlink w:anchor="_Toc106119009" w:history="1">
            <w:r w:rsidR="00AD0C57" w:rsidRPr="00A4181B">
              <w:rPr>
                <w:rStyle w:val="Hyperlink"/>
                <w:rFonts w:ascii="Ebrima" w:hAnsi="Ebrima"/>
              </w:rPr>
              <w:t>1.</w:t>
            </w:r>
            <w:r w:rsidR="00AD0C57">
              <w:rPr>
                <w:rFonts w:asciiTheme="minorHAnsi" w:eastAsiaTheme="minorEastAsia" w:hAnsiTheme="minorHAnsi"/>
                <w:lang w:eastAsia="pt-BR"/>
              </w:rPr>
              <w:tab/>
            </w:r>
            <w:r w:rsidR="00AD0C57" w:rsidRPr="00A4181B">
              <w:rPr>
                <w:rStyle w:val="Hyperlink"/>
                <w:rFonts w:ascii="Ebrima" w:hAnsi="Ebrima"/>
              </w:rPr>
              <w:t>ESTRUTURA ORÇAMENTÁRIA</w:t>
            </w:r>
            <w:r w:rsidR="00AD0C57">
              <w:rPr>
                <w:webHidden/>
              </w:rPr>
              <w:tab/>
            </w:r>
            <w:r w:rsidR="00AD0C57">
              <w:rPr>
                <w:webHidden/>
              </w:rPr>
              <w:fldChar w:fldCharType="begin"/>
            </w:r>
            <w:r w:rsidR="00AD0C57">
              <w:rPr>
                <w:webHidden/>
              </w:rPr>
              <w:instrText xml:space="preserve"> PAGEREF _Toc106119009 \h </w:instrText>
            </w:r>
            <w:r w:rsidR="00AD0C57">
              <w:rPr>
                <w:webHidden/>
              </w:rPr>
            </w:r>
            <w:r w:rsidR="00AD0C57">
              <w:rPr>
                <w:webHidden/>
              </w:rPr>
              <w:fldChar w:fldCharType="separate"/>
            </w:r>
            <w:r w:rsidR="00883D27">
              <w:rPr>
                <w:webHidden/>
              </w:rPr>
              <w:t>6</w:t>
            </w:r>
            <w:r w:rsidR="00AD0C57">
              <w:rPr>
                <w:webHidden/>
              </w:rPr>
              <w:fldChar w:fldCharType="end"/>
            </w:r>
          </w:hyperlink>
        </w:p>
        <w:p w:rsidR="00AD0C57" w:rsidRDefault="00D7544B">
          <w:pPr>
            <w:pStyle w:val="Sumrio1"/>
            <w:rPr>
              <w:rFonts w:asciiTheme="minorHAnsi" w:eastAsiaTheme="minorEastAsia" w:hAnsiTheme="minorHAnsi"/>
              <w:lang w:eastAsia="pt-BR"/>
            </w:rPr>
          </w:pPr>
          <w:hyperlink w:anchor="_Toc106119010" w:history="1">
            <w:r w:rsidR="00AD0C57" w:rsidRPr="00A4181B">
              <w:rPr>
                <w:rStyle w:val="Hyperlink"/>
                <w:rFonts w:ascii="Ebrima" w:hAnsi="Ebrima"/>
              </w:rPr>
              <w:t>1.1.</w:t>
            </w:r>
            <w:r w:rsidR="00AD0C57">
              <w:rPr>
                <w:rFonts w:asciiTheme="minorHAnsi" w:eastAsiaTheme="minorEastAsia" w:hAnsiTheme="minorHAnsi"/>
                <w:lang w:eastAsia="pt-BR"/>
              </w:rPr>
              <w:tab/>
            </w:r>
            <w:r w:rsidR="00AD0C57" w:rsidRPr="00A4181B">
              <w:rPr>
                <w:rStyle w:val="Hyperlink"/>
                <w:rFonts w:ascii="Ebrima" w:hAnsi="Ebrima"/>
              </w:rPr>
              <w:t>Lei Orçamentária Anual</w:t>
            </w:r>
            <w:r w:rsidR="00AD0C57">
              <w:rPr>
                <w:webHidden/>
              </w:rPr>
              <w:tab/>
            </w:r>
            <w:r w:rsidR="00AD0C57">
              <w:rPr>
                <w:webHidden/>
              </w:rPr>
              <w:fldChar w:fldCharType="begin"/>
            </w:r>
            <w:r w:rsidR="00AD0C57">
              <w:rPr>
                <w:webHidden/>
              </w:rPr>
              <w:instrText xml:space="preserve"> PAGEREF _Toc106119010 \h </w:instrText>
            </w:r>
            <w:r w:rsidR="00AD0C57">
              <w:rPr>
                <w:webHidden/>
              </w:rPr>
            </w:r>
            <w:r w:rsidR="00AD0C57">
              <w:rPr>
                <w:webHidden/>
              </w:rPr>
              <w:fldChar w:fldCharType="separate"/>
            </w:r>
            <w:r w:rsidR="00883D27">
              <w:rPr>
                <w:webHidden/>
              </w:rPr>
              <w:t>6</w:t>
            </w:r>
            <w:r w:rsidR="00AD0C57">
              <w:rPr>
                <w:webHidden/>
              </w:rPr>
              <w:fldChar w:fldCharType="end"/>
            </w:r>
          </w:hyperlink>
        </w:p>
        <w:p w:rsidR="00AD0C57" w:rsidRDefault="00D7544B">
          <w:pPr>
            <w:pStyle w:val="Sumrio1"/>
            <w:rPr>
              <w:rFonts w:asciiTheme="minorHAnsi" w:eastAsiaTheme="minorEastAsia" w:hAnsiTheme="minorHAnsi"/>
              <w:lang w:eastAsia="pt-BR"/>
            </w:rPr>
          </w:pPr>
          <w:hyperlink w:anchor="_Toc106119011" w:history="1">
            <w:r w:rsidR="00AD0C57" w:rsidRPr="00A4181B">
              <w:rPr>
                <w:rStyle w:val="Hyperlink"/>
                <w:rFonts w:ascii="Ebrima" w:hAnsi="Ebrima"/>
              </w:rPr>
              <w:t>1.2.</w:t>
            </w:r>
            <w:r w:rsidR="00AD0C57">
              <w:rPr>
                <w:rFonts w:asciiTheme="minorHAnsi" w:eastAsiaTheme="minorEastAsia" w:hAnsiTheme="minorHAnsi"/>
                <w:lang w:eastAsia="pt-BR"/>
              </w:rPr>
              <w:tab/>
            </w:r>
            <w:r w:rsidR="00AD0C57" w:rsidRPr="00A4181B">
              <w:rPr>
                <w:rStyle w:val="Hyperlink"/>
                <w:rFonts w:ascii="Ebrima" w:hAnsi="Ebrima"/>
              </w:rPr>
              <w:t>Classificação Orçamentária da Despesa</w:t>
            </w:r>
            <w:r w:rsidR="00AD0C57">
              <w:rPr>
                <w:webHidden/>
              </w:rPr>
              <w:tab/>
            </w:r>
            <w:r w:rsidR="00AD0C57">
              <w:rPr>
                <w:webHidden/>
              </w:rPr>
              <w:fldChar w:fldCharType="begin"/>
            </w:r>
            <w:r w:rsidR="00AD0C57">
              <w:rPr>
                <w:webHidden/>
              </w:rPr>
              <w:instrText xml:space="preserve"> PAGEREF _Toc106119011 \h </w:instrText>
            </w:r>
            <w:r w:rsidR="00AD0C57">
              <w:rPr>
                <w:webHidden/>
              </w:rPr>
            </w:r>
            <w:r w:rsidR="00AD0C57">
              <w:rPr>
                <w:webHidden/>
              </w:rPr>
              <w:fldChar w:fldCharType="separate"/>
            </w:r>
            <w:r w:rsidR="00883D27">
              <w:rPr>
                <w:webHidden/>
              </w:rPr>
              <w:t>7</w:t>
            </w:r>
            <w:r w:rsidR="00AD0C57">
              <w:rPr>
                <w:webHidden/>
              </w:rPr>
              <w:fldChar w:fldCharType="end"/>
            </w:r>
          </w:hyperlink>
        </w:p>
        <w:p w:rsidR="00AD0C57" w:rsidRDefault="00D7544B">
          <w:pPr>
            <w:pStyle w:val="Sumrio1"/>
            <w:rPr>
              <w:rFonts w:asciiTheme="minorHAnsi" w:eastAsiaTheme="minorEastAsia" w:hAnsiTheme="minorHAnsi"/>
              <w:lang w:eastAsia="pt-BR"/>
            </w:rPr>
          </w:pPr>
          <w:hyperlink w:anchor="_Toc106119012" w:history="1">
            <w:r w:rsidR="00AD0C57" w:rsidRPr="00A4181B">
              <w:rPr>
                <w:rStyle w:val="Hyperlink"/>
                <w:rFonts w:ascii="Ebrima" w:hAnsi="Ebrima"/>
              </w:rPr>
              <w:t>1.3.</w:t>
            </w:r>
            <w:r w:rsidR="00AD0C57">
              <w:rPr>
                <w:rFonts w:asciiTheme="minorHAnsi" w:eastAsiaTheme="minorEastAsia" w:hAnsiTheme="minorHAnsi"/>
                <w:lang w:eastAsia="pt-BR"/>
              </w:rPr>
              <w:tab/>
            </w:r>
            <w:r w:rsidR="00AD0C57" w:rsidRPr="00A4181B">
              <w:rPr>
                <w:rStyle w:val="Hyperlink"/>
                <w:rFonts w:ascii="Ebrima" w:hAnsi="Ebrima"/>
              </w:rPr>
              <w:t>Quadro de Detalhamento da Despesa (QDD)</w:t>
            </w:r>
            <w:r w:rsidR="00AD0C57">
              <w:rPr>
                <w:webHidden/>
              </w:rPr>
              <w:tab/>
            </w:r>
            <w:r w:rsidR="00AD0C57">
              <w:rPr>
                <w:webHidden/>
              </w:rPr>
              <w:fldChar w:fldCharType="begin"/>
            </w:r>
            <w:r w:rsidR="00AD0C57">
              <w:rPr>
                <w:webHidden/>
              </w:rPr>
              <w:instrText xml:space="preserve"> PAGEREF _Toc106119012 \h </w:instrText>
            </w:r>
            <w:r w:rsidR="00AD0C57">
              <w:rPr>
                <w:webHidden/>
              </w:rPr>
            </w:r>
            <w:r w:rsidR="00AD0C57">
              <w:rPr>
                <w:webHidden/>
              </w:rPr>
              <w:fldChar w:fldCharType="separate"/>
            </w:r>
            <w:r w:rsidR="00883D27">
              <w:rPr>
                <w:webHidden/>
              </w:rPr>
              <w:t>8</w:t>
            </w:r>
            <w:r w:rsidR="00AD0C57">
              <w:rPr>
                <w:webHidden/>
              </w:rPr>
              <w:fldChar w:fldCharType="end"/>
            </w:r>
          </w:hyperlink>
        </w:p>
        <w:p w:rsidR="00AD0C57" w:rsidRDefault="00D7544B">
          <w:pPr>
            <w:pStyle w:val="Sumrio1"/>
            <w:rPr>
              <w:rFonts w:asciiTheme="minorHAnsi" w:eastAsiaTheme="minorEastAsia" w:hAnsiTheme="minorHAnsi"/>
              <w:lang w:eastAsia="pt-BR"/>
            </w:rPr>
          </w:pPr>
          <w:hyperlink w:anchor="_Toc106119013" w:history="1">
            <w:r w:rsidR="00AD0C57" w:rsidRPr="00A4181B">
              <w:rPr>
                <w:rStyle w:val="Hyperlink"/>
                <w:rFonts w:ascii="Ebrima" w:hAnsi="Ebrima"/>
              </w:rPr>
              <w:t>2.</w:t>
            </w:r>
            <w:r w:rsidR="00AD0C57">
              <w:rPr>
                <w:rFonts w:asciiTheme="minorHAnsi" w:eastAsiaTheme="minorEastAsia" w:hAnsiTheme="minorHAnsi"/>
                <w:lang w:eastAsia="pt-BR"/>
              </w:rPr>
              <w:tab/>
            </w:r>
            <w:r w:rsidR="00AD0C57" w:rsidRPr="00A4181B">
              <w:rPr>
                <w:rStyle w:val="Hyperlink"/>
                <w:rFonts w:ascii="Ebrima" w:hAnsi="Ebrima"/>
              </w:rPr>
              <w:t>VEDAÇÕES NA EXECUÇÃO DO ORÇAMENTO</w:t>
            </w:r>
            <w:r w:rsidR="00AD0C57">
              <w:rPr>
                <w:webHidden/>
              </w:rPr>
              <w:tab/>
            </w:r>
            <w:r w:rsidR="00AD0C57">
              <w:rPr>
                <w:webHidden/>
              </w:rPr>
              <w:fldChar w:fldCharType="begin"/>
            </w:r>
            <w:r w:rsidR="00AD0C57">
              <w:rPr>
                <w:webHidden/>
              </w:rPr>
              <w:instrText xml:space="preserve"> PAGEREF _Toc106119013 \h </w:instrText>
            </w:r>
            <w:r w:rsidR="00AD0C57">
              <w:rPr>
                <w:webHidden/>
              </w:rPr>
            </w:r>
            <w:r w:rsidR="00AD0C57">
              <w:rPr>
                <w:webHidden/>
              </w:rPr>
              <w:fldChar w:fldCharType="separate"/>
            </w:r>
            <w:r w:rsidR="00883D27">
              <w:rPr>
                <w:webHidden/>
              </w:rPr>
              <w:t>9</w:t>
            </w:r>
            <w:r w:rsidR="00AD0C57">
              <w:rPr>
                <w:webHidden/>
              </w:rPr>
              <w:fldChar w:fldCharType="end"/>
            </w:r>
          </w:hyperlink>
        </w:p>
        <w:p w:rsidR="00AD0C57" w:rsidRDefault="00D7544B">
          <w:pPr>
            <w:pStyle w:val="Sumrio1"/>
            <w:rPr>
              <w:rFonts w:asciiTheme="minorHAnsi" w:eastAsiaTheme="minorEastAsia" w:hAnsiTheme="minorHAnsi"/>
              <w:lang w:eastAsia="pt-BR"/>
            </w:rPr>
          </w:pPr>
          <w:hyperlink w:anchor="_Toc106119014" w:history="1">
            <w:r w:rsidR="00AD0C57" w:rsidRPr="00A4181B">
              <w:rPr>
                <w:rStyle w:val="Hyperlink"/>
                <w:rFonts w:ascii="Ebrima" w:hAnsi="Ebrima"/>
              </w:rPr>
              <w:t>2.1.</w:t>
            </w:r>
            <w:r w:rsidR="00AD0C57">
              <w:rPr>
                <w:rFonts w:asciiTheme="minorHAnsi" w:eastAsiaTheme="minorEastAsia" w:hAnsiTheme="minorHAnsi"/>
                <w:lang w:eastAsia="pt-BR"/>
              </w:rPr>
              <w:tab/>
            </w:r>
            <w:r w:rsidR="00AD0C57" w:rsidRPr="00A4181B">
              <w:rPr>
                <w:rStyle w:val="Hyperlink"/>
                <w:rFonts w:ascii="Ebrima" w:hAnsi="Ebrima"/>
              </w:rPr>
              <w:t>Vedações Constitucionais</w:t>
            </w:r>
            <w:r w:rsidR="00AD0C57">
              <w:rPr>
                <w:webHidden/>
              </w:rPr>
              <w:tab/>
            </w:r>
            <w:r w:rsidR="00AD0C57">
              <w:rPr>
                <w:webHidden/>
              </w:rPr>
              <w:fldChar w:fldCharType="begin"/>
            </w:r>
            <w:r w:rsidR="00AD0C57">
              <w:rPr>
                <w:webHidden/>
              </w:rPr>
              <w:instrText xml:space="preserve"> PAGEREF _Toc106119014 \h </w:instrText>
            </w:r>
            <w:r w:rsidR="00AD0C57">
              <w:rPr>
                <w:webHidden/>
              </w:rPr>
            </w:r>
            <w:r w:rsidR="00AD0C57">
              <w:rPr>
                <w:webHidden/>
              </w:rPr>
              <w:fldChar w:fldCharType="separate"/>
            </w:r>
            <w:r w:rsidR="00883D27">
              <w:rPr>
                <w:webHidden/>
              </w:rPr>
              <w:t>9</w:t>
            </w:r>
            <w:r w:rsidR="00AD0C57">
              <w:rPr>
                <w:webHidden/>
              </w:rPr>
              <w:fldChar w:fldCharType="end"/>
            </w:r>
          </w:hyperlink>
        </w:p>
        <w:p w:rsidR="00AD0C57" w:rsidRDefault="00D7544B">
          <w:pPr>
            <w:pStyle w:val="Sumrio1"/>
            <w:rPr>
              <w:rFonts w:asciiTheme="minorHAnsi" w:eastAsiaTheme="minorEastAsia" w:hAnsiTheme="minorHAnsi"/>
              <w:lang w:eastAsia="pt-BR"/>
            </w:rPr>
          </w:pPr>
          <w:hyperlink w:anchor="_Toc106119015" w:history="1">
            <w:r w:rsidR="00AD0C57" w:rsidRPr="00A4181B">
              <w:rPr>
                <w:rStyle w:val="Hyperlink"/>
                <w:rFonts w:ascii="Ebrima" w:hAnsi="Ebrima"/>
              </w:rPr>
              <w:t>2.2.</w:t>
            </w:r>
            <w:r w:rsidR="00AD0C57">
              <w:rPr>
                <w:rFonts w:asciiTheme="minorHAnsi" w:eastAsiaTheme="minorEastAsia" w:hAnsiTheme="minorHAnsi"/>
                <w:lang w:eastAsia="pt-BR"/>
              </w:rPr>
              <w:tab/>
            </w:r>
            <w:r w:rsidR="00AD0C57" w:rsidRPr="00A4181B">
              <w:rPr>
                <w:rStyle w:val="Hyperlink"/>
                <w:rFonts w:ascii="Ebrima" w:hAnsi="Ebrima"/>
              </w:rPr>
              <w:t>Vedações da Lei Federal 4.320/1964</w:t>
            </w:r>
            <w:r w:rsidR="00AD0C57">
              <w:rPr>
                <w:webHidden/>
              </w:rPr>
              <w:tab/>
            </w:r>
            <w:r w:rsidR="00AD0C57">
              <w:rPr>
                <w:webHidden/>
              </w:rPr>
              <w:fldChar w:fldCharType="begin"/>
            </w:r>
            <w:r w:rsidR="00AD0C57">
              <w:rPr>
                <w:webHidden/>
              </w:rPr>
              <w:instrText xml:space="preserve"> PAGEREF _Toc106119015 \h </w:instrText>
            </w:r>
            <w:r w:rsidR="00AD0C57">
              <w:rPr>
                <w:webHidden/>
              </w:rPr>
            </w:r>
            <w:r w:rsidR="00AD0C57">
              <w:rPr>
                <w:webHidden/>
              </w:rPr>
              <w:fldChar w:fldCharType="separate"/>
            </w:r>
            <w:r w:rsidR="00883D27">
              <w:rPr>
                <w:webHidden/>
              </w:rPr>
              <w:t>10</w:t>
            </w:r>
            <w:r w:rsidR="00AD0C57">
              <w:rPr>
                <w:webHidden/>
              </w:rPr>
              <w:fldChar w:fldCharType="end"/>
            </w:r>
          </w:hyperlink>
        </w:p>
        <w:p w:rsidR="00AD0C57" w:rsidRDefault="00D7544B">
          <w:pPr>
            <w:pStyle w:val="Sumrio1"/>
            <w:rPr>
              <w:rFonts w:asciiTheme="minorHAnsi" w:eastAsiaTheme="minorEastAsia" w:hAnsiTheme="minorHAnsi"/>
              <w:lang w:eastAsia="pt-BR"/>
            </w:rPr>
          </w:pPr>
          <w:hyperlink w:anchor="_Toc106119016" w:history="1">
            <w:r w:rsidR="00AD0C57" w:rsidRPr="00A4181B">
              <w:rPr>
                <w:rStyle w:val="Hyperlink"/>
                <w:rFonts w:ascii="Ebrima" w:hAnsi="Ebrima"/>
              </w:rPr>
              <w:t>2.3.</w:t>
            </w:r>
            <w:r w:rsidR="00AD0C57">
              <w:rPr>
                <w:rFonts w:asciiTheme="minorHAnsi" w:eastAsiaTheme="minorEastAsia" w:hAnsiTheme="minorHAnsi"/>
                <w:lang w:eastAsia="pt-BR"/>
              </w:rPr>
              <w:tab/>
            </w:r>
            <w:r w:rsidR="00AD0C57" w:rsidRPr="00A4181B">
              <w:rPr>
                <w:rStyle w:val="Hyperlink"/>
                <w:rFonts w:ascii="Ebrima" w:hAnsi="Ebrima"/>
              </w:rPr>
              <w:t>Vedações da Lei de Responsabilidade Fiscal</w:t>
            </w:r>
            <w:r w:rsidR="00AD0C57">
              <w:rPr>
                <w:webHidden/>
              </w:rPr>
              <w:tab/>
            </w:r>
            <w:r w:rsidR="00AD0C57">
              <w:rPr>
                <w:webHidden/>
              </w:rPr>
              <w:fldChar w:fldCharType="begin"/>
            </w:r>
            <w:r w:rsidR="00AD0C57">
              <w:rPr>
                <w:webHidden/>
              </w:rPr>
              <w:instrText xml:space="preserve"> PAGEREF _Toc106119016 \h </w:instrText>
            </w:r>
            <w:r w:rsidR="00AD0C57">
              <w:rPr>
                <w:webHidden/>
              </w:rPr>
            </w:r>
            <w:r w:rsidR="00AD0C57">
              <w:rPr>
                <w:webHidden/>
              </w:rPr>
              <w:fldChar w:fldCharType="separate"/>
            </w:r>
            <w:r w:rsidR="00883D27">
              <w:rPr>
                <w:webHidden/>
              </w:rPr>
              <w:t>11</w:t>
            </w:r>
            <w:r w:rsidR="00AD0C57">
              <w:rPr>
                <w:webHidden/>
              </w:rPr>
              <w:fldChar w:fldCharType="end"/>
            </w:r>
          </w:hyperlink>
        </w:p>
        <w:p w:rsidR="00AD0C57" w:rsidRDefault="00D7544B">
          <w:pPr>
            <w:pStyle w:val="Sumrio1"/>
            <w:rPr>
              <w:rFonts w:asciiTheme="minorHAnsi" w:eastAsiaTheme="minorEastAsia" w:hAnsiTheme="minorHAnsi"/>
              <w:lang w:eastAsia="pt-BR"/>
            </w:rPr>
          </w:pPr>
          <w:hyperlink w:anchor="_Toc106119017" w:history="1">
            <w:r w:rsidR="00AD0C57" w:rsidRPr="00A4181B">
              <w:rPr>
                <w:rStyle w:val="Hyperlink"/>
                <w:rFonts w:ascii="Ebrima" w:hAnsi="Ebrima"/>
              </w:rPr>
              <w:t>3.</w:t>
            </w:r>
            <w:r w:rsidR="00AD0C57">
              <w:rPr>
                <w:rFonts w:asciiTheme="minorHAnsi" w:eastAsiaTheme="minorEastAsia" w:hAnsiTheme="minorHAnsi"/>
                <w:lang w:eastAsia="pt-BR"/>
              </w:rPr>
              <w:tab/>
            </w:r>
            <w:r w:rsidR="00AD0C57" w:rsidRPr="00A4181B">
              <w:rPr>
                <w:rStyle w:val="Hyperlink"/>
                <w:rFonts w:ascii="Ebrima" w:hAnsi="Ebrima"/>
              </w:rPr>
              <w:t>CONTROLE DO GASTO PÚBLICO</w:t>
            </w:r>
            <w:r w:rsidR="00AD0C57">
              <w:rPr>
                <w:webHidden/>
              </w:rPr>
              <w:tab/>
            </w:r>
            <w:r w:rsidR="00AD0C57">
              <w:rPr>
                <w:webHidden/>
              </w:rPr>
              <w:fldChar w:fldCharType="begin"/>
            </w:r>
            <w:r w:rsidR="00AD0C57">
              <w:rPr>
                <w:webHidden/>
              </w:rPr>
              <w:instrText xml:space="preserve"> PAGEREF _Toc106119017 \h </w:instrText>
            </w:r>
            <w:r w:rsidR="00AD0C57">
              <w:rPr>
                <w:webHidden/>
              </w:rPr>
            </w:r>
            <w:r w:rsidR="00AD0C57">
              <w:rPr>
                <w:webHidden/>
              </w:rPr>
              <w:fldChar w:fldCharType="separate"/>
            </w:r>
            <w:r w:rsidR="00883D27">
              <w:rPr>
                <w:webHidden/>
              </w:rPr>
              <w:t>13</w:t>
            </w:r>
            <w:r w:rsidR="00AD0C57">
              <w:rPr>
                <w:webHidden/>
              </w:rPr>
              <w:fldChar w:fldCharType="end"/>
            </w:r>
          </w:hyperlink>
        </w:p>
        <w:p w:rsidR="00AD0C57" w:rsidRDefault="00D7544B">
          <w:pPr>
            <w:pStyle w:val="Sumrio1"/>
            <w:rPr>
              <w:rFonts w:asciiTheme="minorHAnsi" w:eastAsiaTheme="minorEastAsia" w:hAnsiTheme="minorHAnsi"/>
              <w:lang w:eastAsia="pt-BR"/>
            </w:rPr>
          </w:pPr>
          <w:hyperlink w:anchor="_Toc106119018" w:history="1">
            <w:r w:rsidR="00AD0C57" w:rsidRPr="00A4181B">
              <w:rPr>
                <w:rStyle w:val="Hyperlink"/>
                <w:rFonts w:ascii="Ebrima" w:hAnsi="Ebrima"/>
              </w:rPr>
              <w:t>4.</w:t>
            </w:r>
            <w:r w:rsidR="00AD0C57">
              <w:rPr>
                <w:rFonts w:asciiTheme="minorHAnsi" w:eastAsiaTheme="minorEastAsia" w:hAnsiTheme="minorHAnsi"/>
                <w:lang w:eastAsia="pt-BR"/>
              </w:rPr>
              <w:tab/>
            </w:r>
            <w:r w:rsidR="00AD0C57" w:rsidRPr="00A4181B">
              <w:rPr>
                <w:rStyle w:val="Hyperlink"/>
                <w:rFonts w:ascii="Ebrima" w:hAnsi="Ebrima"/>
              </w:rPr>
              <w:t>CONSIDERAÇÕES SOBRE A FIXAÇÃO DE DESPESAS COM A CONTRAPARTIDA EM INSTRUMENTOS DE CONVÊNIOS E OU REPASSE CELEBRADOS COM A UNIÃO</w:t>
            </w:r>
            <w:r w:rsidR="00AD0C57">
              <w:rPr>
                <w:webHidden/>
              </w:rPr>
              <w:tab/>
            </w:r>
            <w:r w:rsidR="00AD0C57">
              <w:rPr>
                <w:webHidden/>
              </w:rPr>
              <w:fldChar w:fldCharType="begin"/>
            </w:r>
            <w:r w:rsidR="00AD0C57">
              <w:rPr>
                <w:webHidden/>
              </w:rPr>
              <w:instrText xml:space="preserve"> PAGEREF _Toc106119018 \h </w:instrText>
            </w:r>
            <w:r w:rsidR="00AD0C57">
              <w:rPr>
                <w:webHidden/>
              </w:rPr>
            </w:r>
            <w:r w:rsidR="00AD0C57">
              <w:rPr>
                <w:webHidden/>
              </w:rPr>
              <w:fldChar w:fldCharType="separate"/>
            </w:r>
            <w:r w:rsidR="00883D27">
              <w:rPr>
                <w:webHidden/>
              </w:rPr>
              <w:t>15</w:t>
            </w:r>
            <w:r w:rsidR="00AD0C57">
              <w:rPr>
                <w:webHidden/>
              </w:rPr>
              <w:fldChar w:fldCharType="end"/>
            </w:r>
          </w:hyperlink>
        </w:p>
        <w:p w:rsidR="00AD0C57" w:rsidRDefault="00D7544B">
          <w:pPr>
            <w:pStyle w:val="Sumrio1"/>
            <w:rPr>
              <w:rFonts w:asciiTheme="minorHAnsi" w:eastAsiaTheme="minorEastAsia" w:hAnsiTheme="minorHAnsi"/>
              <w:lang w:eastAsia="pt-BR"/>
            </w:rPr>
          </w:pPr>
          <w:hyperlink w:anchor="_Toc106119019" w:history="1">
            <w:r w:rsidR="00AD0C57" w:rsidRPr="00A4181B">
              <w:rPr>
                <w:rStyle w:val="Hyperlink"/>
                <w:rFonts w:ascii="Ebrima" w:hAnsi="Ebrima"/>
              </w:rPr>
              <w:t>5.</w:t>
            </w:r>
            <w:r w:rsidR="00AD0C57">
              <w:rPr>
                <w:rFonts w:asciiTheme="minorHAnsi" w:eastAsiaTheme="minorEastAsia" w:hAnsiTheme="minorHAnsi"/>
                <w:lang w:eastAsia="pt-BR"/>
              </w:rPr>
              <w:tab/>
            </w:r>
            <w:r w:rsidR="00AD0C57" w:rsidRPr="00A4181B">
              <w:rPr>
                <w:rStyle w:val="Hyperlink"/>
                <w:rFonts w:ascii="Ebrima" w:hAnsi="Ebrima"/>
              </w:rPr>
              <w:t>COTA ORÇAMENTÁRIA</w:t>
            </w:r>
            <w:r w:rsidR="00AD0C57">
              <w:rPr>
                <w:webHidden/>
              </w:rPr>
              <w:tab/>
            </w:r>
            <w:r w:rsidR="00AD0C57">
              <w:rPr>
                <w:webHidden/>
              </w:rPr>
              <w:fldChar w:fldCharType="begin"/>
            </w:r>
            <w:r w:rsidR="00AD0C57">
              <w:rPr>
                <w:webHidden/>
              </w:rPr>
              <w:instrText xml:space="preserve"> PAGEREF _Toc106119019 \h </w:instrText>
            </w:r>
            <w:r w:rsidR="00AD0C57">
              <w:rPr>
                <w:webHidden/>
              </w:rPr>
            </w:r>
            <w:r w:rsidR="00AD0C57">
              <w:rPr>
                <w:webHidden/>
              </w:rPr>
              <w:fldChar w:fldCharType="separate"/>
            </w:r>
            <w:r w:rsidR="00883D27">
              <w:rPr>
                <w:webHidden/>
              </w:rPr>
              <w:t>16</w:t>
            </w:r>
            <w:r w:rsidR="00AD0C57">
              <w:rPr>
                <w:webHidden/>
              </w:rPr>
              <w:fldChar w:fldCharType="end"/>
            </w:r>
          </w:hyperlink>
        </w:p>
        <w:p w:rsidR="00AD0C57" w:rsidRDefault="00D7544B">
          <w:pPr>
            <w:pStyle w:val="Sumrio1"/>
            <w:rPr>
              <w:rFonts w:asciiTheme="minorHAnsi" w:eastAsiaTheme="minorEastAsia" w:hAnsiTheme="minorHAnsi"/>
              <w:lang w:eastAsia="pt-BR"/>
            </w:rPr>
          </w:pPr>
          <w:hyperlink w:anchor="_Toc106119020" w:history="1">
            <w:r w:rsidR="00AD0C57" w:rsidRPr="00A4181B">
              <w:rPr>
                <w:rStyle w:val="Hyperlink"/>
                <w:rFonts w:ascii="Ebrima" w:hAnsi="Ebrima"/>
              </w:rPr>
              <w:t>5.1.</w:t>
            </w:r>
            <w:r w:rsidR="00AD0C57">
              <w:rPr>
                <w:rFonts w:asciiTheme="minorHAnsi" w:eastAsiaTheme="minorEastAsia" w:hAnsiTheme="minorHAnsi"/>
                <w:lang w:eastAsia="pt-BR"/>
              </w:rPr>
              <w:tab/>
            </w:r>
            <w:r w:rsidR="00CA5510">
              <w:rPr>
                <w:rStyle w:val="Hyperlink"/>
                <w:rFonts w:ascii="Ebrima" w:hAnsi="Ebrima"/>
              </w:rPr>
              <w:t>Cotas Orçamentárias para 2024</w:t>
            </w:r>
            <w:r w:rsidR="00AD0C57">
              <w:rPr>
                <w:webHidden/>
              </w:rPr>
              <w:tab/>
            </w:r>
            <w:r w:rsidR="00AD0C57">
              <w:rPr>
                <w:webHidden/>
              </w:rPr>
              <w:fldChar w:fldCharType="begin"/>
            </w:r>
            <w:r w:rsidR="00AD0C57">
              <w:rPr>
                <w:webHidden/>
              </w:rPr>
              <w:instrText xml:space="preserve"> PAGEREF _Toc106119020 \h </w:instrText>
            </w:r>
            <w:r w:rsidR="00AD0C57">
              <w:rPr>
                <w:webHidden/>
              </w:rPr>
            </w:r>
            <w:r w:rsidR="00AD0C57">
              <w:rPr>
                <w:webHidden/>
              </w:rPr>
              <w:fldChar w:fldCharType="separate"/>
            </w:r>
            <w:r w:rsidR="00883D27">
              <w:rPr>
                <w:webHidden/>
              </w:rPr>
              <w:t>18</w:t>
            </w:r>
            <w:r w:rsidR="00AD0C57">
              <w:rPr>
                <w:webHidden/>
              </w:rPr>
              <w:fldChar w:fldCharType="end"/>
            </w:r>
          </w:hyperlink>
        </w:p>
        <w:p w:rsidR="00AD0C57" w:rsidRDefault="00D7544B">
          <w:pPr>
            <w:pStyle w:val="Sumrio1"/>
            <w:rPr>
              <w:rFonts w:asciiTheme="minorHAnsi" w:eastAsiaTheme="minorEastAsia" w:hAnsiTheme="minorHAnsi"/>
              <w:lang w:eastAsia="pt-BR"/>
            </w:rPr>
          </w:pPr>
          <w:hyperlink w:anchor="_Toc106119021" w:history="1">
            <w:r w:rsidR="00AD0C57" w:rsidRPr="00A4181B">
              <w:rPr>
                <w:rStyle w:val="Hyperlink"/>
                <w:rFonts w:ascii="Ebrima" w:hAnsi="Ebrima"/>
              </w:rPr>
              <w:t>5.2.</w:t>
            </w:r>
            <w:r w:rsidR="00AD0C57">
              <w:rPr>
                <w:rFonts w:asciiTheme="minorHAnsi" w:eastAsiaTheme="minorEastAsia" w:hAnsiTheme="minorHAnsi"/>
                <w:lang w:eastAsia="pt-BR"/>
              </w:rPr>
              <w:tab/>
            </w:r>
            <w:r w:rsidR="00AD0C57" w:rsidRPr="00A4181B">
              <w:rPr>
                <w:rStyle w:val="Hyperlink"/>
                <w:rFonts w:ascii="Ebrima" w:hAnsi="Ebrima"/>
              </w:rPr>
              <w:t>Avaliação e Discussão das Cotas Orçamentárias para 202</w:t>
            </w:r>
            <w:r w:rsidR="00CA5510">
              <w:rPr>
                <w:rStyle w:val="Hyperlink"/>
                <w:rFonts w:ascii="Ebrima" w:hAnsi="Ebrima"/>
              </w:rPr>
              <w:t>4</w:t>
            </w:r>
            <w:r w:rsidR="00AD0C57">
              <w:rPr>
                <w:webHidden/>
              </w:rPr>
              <w:tab/>
            </w:r>
            <w:r w:rsidR="00AD0C57">
              <w:rPr>
                <w:webHidden/>
              </w:rPr>
              <w:fldChar w:fldCharType="begin"/>
            </w:r>
            <w:r w:rsidR="00AD0C57">
              <w:rPr>
                <w:webHidden/>
              </w:rPr>
              <w:instrText xml:space="preserve"> PAGEREF _Toc106119021 \h </w:instrText>
            </w:r>
            <w:r w:rsidR="00AD0C57">
              <w:rPr>
                <w:webHidden/>
              </w:rPr>
            </w:r>
            <w:r w:rsidR="00AD0C57">
              <w:rPr>
                <w:webHidden/>
              </w:rPr>
              <w:fldChar w:fldCharType="separate"/>
            </w:r>
            <w:r w:rsidR="00883D27">
              <w:rPr>
                <w:webHidden/>
              </w:rPr>
              <w:t>20</w:t>
            </w:r>
            <w:r w:rsidR="00AD0C57">
              <w:rPr>
                <w:webHidden/>
              </w:rPr>
              <w:fldChar w:fldCharType="end"/>
            </w:r>
          </w:hyperlink>
        </w:p>
        <w:p w:rsidR="00AD0C57" w:rsidRDefault="00D7544B">
          <w:pPr>
            <w:pStyle w:val="Sumrio1"/>
            <w:rPr>
              <w:rFonts w:asciiTheme="minorHAnsi" w:eastAsiaTheme="minorEastAsia" w:hAnsiTheme="minorHAnsi"/>
              <w:lang w:eastAsia="pt-BR"/>
            </w:rPr>
          </w:pPr>
          <w:hyperlink w:anchor="_Toc106119022" w:history="1">
            <w:r w:rsidR="00AD0C57" w:rsidRPr="00A4181B">
              <w:rPr>
                <w:rStyle w:val="Hyperlink"/>
                <w:rFonts w:ascii="Ebrima" w:hAnsi="Ebrima"/>
              </w:rPr>
              <w:t>5.2.1.</w:t>
            </w:r>
            <w:r w:rsidR="00AD0C57">
              <w:rPr>
                <w:rFonts w:asciiTheme="minorHAnsi" w:eastAsiaTheme="minorEastAsia" w:hAnsiTheme="minorHAnsi"/>
                <w:lang w:eastAsia="pt-BR"/>
              </w:rPr>
              <w:tab/>
            </w:r>
            <w:r w:rsidR="00AD0C57" w:rsidRPr="00A4181B">
              <w:rPr>
                <w:rStyle w:val="Hyperlink"/>
                <w:rFonts w:ascii="Ebrima" w:hAnsi="Ebrima"/>
              </w:rPr>
              <w:t>Critérios que deverão ser considerados na análise das cotas</w:t>
            </w:r>
            <w:r w:rsidR="00AD0C57">
              <w:rPr>
                <w:webHidden/>
              </w:rPr>
              <w:tab/>
            </w:r>
            <w:r w:rsidR="00AD0C57">
              <w:rPr>
                <w:webHidden/>
              </w:rPr>
              <w:fldChar w:fldCharType="begin"/>
            </w:r>
            <w:r w:rsidR="00AD0C57">
              <w:rPr>
                <w:webHidden/>
              </w:rPr>
              <w:instrText xml:space="preserve"> PAGEREF _Toc106119022 \h </w:instrText>
            </w:r>
            <w:r w:rsidR="00AD0C57">
              <w:rPr>
                <w:webHidden/>
              </w:rPr>
            </w:r>
            <w:r w:rsidR="00AD0C57">
              <w:rPr>
                <w:webHidden/>
              </w:rPr>
              <w:fldChar w:fldCharType="separate"/>
            </w:r>
            <w:r w:rsidR="00883D27">
              <w:rPr>
                <w:webHidden/>
              </w:rPr>
              <w:t>20</w:t>
            </w:r>
            <w:r w:rsidR="00AD0C57">
              <w:rPr>
                <w:webHidden/>
              </w:rPr>
              <w:fldChar w:fldCharType="end"/>
            </w:r>
          </w:hyperlink>
        </w:p>
        <w:p w:rsidR="00AD0C57" w:rsidRDefault="00D7544B">
          <w:pPr>
            <w:pStyle w:val="Sumrio1"/>
            <w:rPr>
              <w:rFonts w:asciiTheme="minorHAnsi" w:eastAsiaTheme="minorEastAsia" w:hAnsiTheme="minorHAnsi"/>
              <w:lang w:eastAsia="pt-BR"/>
            </w:rPr>
          </w:pPr>
          <w:hyperlink w:anchor="_Toc106119023" w:history="1">
            <w:r w:rsidR="00AD0C57" w:rsidRPr="00A4181B">
              <w:rPr>
                <w:rStyle w:val="Hyperlink"/>
                <w:rFonts w:ascii="Ebrima" w:hAnsi="Ebrima"/>
              </w:rPr>
              <w:t>5.2.2.</w:t>
            </w:r>
            <w:r w:rsidR="00AD0C57">
              <w:rPr>
                <w:rFonts w:asciiTheme="minorHAnsi" w:eastAsiaTheme="minorEastAsia" w:hAnsiTheme="minorHAnsi"/>
                <w:lang w:eastAsia="pt-BR"/>
              </w:rPr>
              <w:tab/>
            </w:r>
            <w:r w:rsidR="00AD0C57" w:rsidRPr="00A4181B">
              <w:rPr>
                <w:rStyle w:val="Hyperlink"/>
                <w:rFonts w:ascii="Ebrima" w:hAnsi="Ebrima"/>
              </w:rPr>
              <w:t>Hierarquia da Despesa</w:t>
            </w:r>
            <w:r w:rsidR="00AD0C57">
              <w:rPr>
                <w:webHidden/>
              </w:rPr>
              <w:tab/>
            </w:r>
            <w:r w:rsidR="00AD0C57">
              <w:rPr>
                <w:webHidden/>
              </w:rPr>
              <w:fldChar w:fldCharType="begin"/>
            </w:r>
            <w:r w:rsidR="00AD0C57">
              <w:rPr>
                <w:webHidden/>
              </w:rPr>
              <w:instrText xml:space="preserve"> PAGEREF _Toc106119023 \h </w:instrText>
            </w:r>
            <w:r w:rsidR="00AD0C57">
              <w:rPr>
                <w:webHidden/>
              </w:rPr>
            </w:r>
            <w:r w:rsidR="00AD0C57">
              <w:rPr>
                <w:webHidden/>
              </w:rPr>
              <w:fldChar w:fldCharType="separate"/>
            </w:r>
            <w:r w:rsidR="00883D27">
              <w:rPr>
                <w:webHidden/>
              </w:rPr>
              <w:t>20</w:t>
            </w:r>
            <w:r w:rsidR="00AD0C57">
              <w:rPr>
                <w:webHidden/>
              </w:rPr>
              <w:fldChar w:fldCharType="end"/>
            </w:r>
          </w:hyperlink>
        </w:p>
        <w:p w:rsidR="00AD0C57" w:rsidRDefault="00D7544B">
          <w:pPr>
            <w:pStyle w:val="Sumrio1"/>
            <w:rPr>
              <w:rFonts w:asciiTheme="minorHAnsi" w:eastAsiaTheme="minorEastAsia" w:hAnsiTheme="minorHAnsi"/>
              <w:lang w:eastAsia="pt-BR"/>
            </w:rPr>
          </w:pPr>
          <w:hyperlink w:anchor="_Toc106119024" w:history="1">
            <w:r w:rsidR="00AD0C57" w:rsidRPr="00A4181B">
              <w:rPr>
                <w:rStyle w:val="Hyperlink"/>
                <w:rFonts w:ascii="Ebrima" w:hAnsi="Ebrima"/>
              </w:rPr>
              <w:t>6.</w:t>
            </w:r>
            <w:r w:rsidR="00AD0C57">
              <w:rPr>
                <w:rFonts w:asciiTheme="minorHAnsi" w:eastAsiaTheme="minorEastAsia" w:hAnsiTheme="minorHAnsi"/>
                <w:lang w:eastAsia="pt-BR"/>
              </w:rPr>
              <w:tab/>
            </w:r>
            <w:r w:rsidR="00AD0C57" w:rsidRPr="00A4181B">
              <w:rPr>
                <w:rStyle w:val="Hyperlink"/>
                <w:rFonts w:ascii="Ebrima" w:hAnsi="Ebrima"/>
              </w:rPr>
              <w:t>FIXAÇÃO DAS DESPESAS</w:t>
            </w:r>
            <w:r w:rsidR="00AD0C57">
              <w:rPr>
                <w:webHidden/>
              </w:rPr>
              <w:tab/>
            </w:r>
            <w:r w:rsidR="00AD0C57">
              <w:rPr>
                <w:webHidden/>
              </w:rPr>
              <w:fldChar w:fldCharType="begin"/>
            </w:r>
            <w:r w:rsidR="00AD0C57">
              <w:rPr>
                <w:webHidden/>
              </w:rPr>
              <w:instrText xml:space="preserve"> PAGEREF _Toc106119024 \h </w:instrText>
            </w:r>
            <w:r w:rsidR="00AD0C57">
              <w:rPr>
                <w:webHidden/>
              </w:rPr>
            </w:r>
            <w:r w:rsidR="00AD0C57">
              <w:rPr>
                <w:webHidden/>
              </w:rPr>
              <w:fldChar w:fldCharType="separate"/>
            </w:r>
            <w:r w:rsidR="00883D27">
              <w:rPr>
                <w:webHidden/>
              </w:rPr>
              <w:t>22</w:t>
            </w:r>
            <w:r w:rsidR="00AD0C57">
              <w:rPr>
                <w:webHidden/>
              </w:rPr>
              <w:fldChar w:fldCharType="end"/>
            </w:r>
          </w:hyperlink>
        </w:p>
        <w:p w:rsidR="00AD0C57" w:rsidRDefault="00D7544B">
          <w:pPr>
            <w:pStyle w:val="Sumrio1"/>
            <w:rPr>
              <w:rFonts w:asciiTheme="minorHAnsi" w:eastAsiaTheme="minorEastAsia" w:hAnsiTheme="minorHAnsi"/>
              <w:lang w:eastAsia="pt-BR"/>
            </w:rPr>
          </w:pPr>
          <w:hyperlink w:anchor="_Toc106119025" w:history="1">
            <w:r w:rsidR="00AD0C57" w:rsidRPr="00A4181B">
              <w:rPr>
                <w:rStyle w:val="Hyperlink"/>
                <w:rFonts w:ascii="Ebrima" w:hAnsi="Ebrima"/>
              </w:rPr>
              <w:t>6.1.</w:t>
            </w:r>
            <w:r w:rsidR="00AD0C57">
              <w:rPr>
                <w:rFonts w:asciiTheme="minorHAnsi" w:eastAsiaTheme="minorEastAsia" w:hAnsiTheme="minorHAnsi"/>
                <w:lang w:eastAsia="pt-BR"/>
              </w:rPr>
              <w:tab/>
            </w:r>
            <w:r w:rsidR="00AD0C57" w:rsidRPr="00A4181B">
              <w:rPr>
                <w:rStyle w:val="Hyperlink"/>
                <w:rFonts w:ascii="Ebrima" w:hAnsi="Ebrima"/>
              </w:rPr>
              <w:t>Fixação da Despesa no SIGEF LOA 202</w:t>
            </w:r>
            <w:r w:rsidR="00CA5510">
              <w:rPr>
                <w:rStyle w:val="Hyperlink"/>
                <w:rFonts w:ascii="Ebrima" w:hAnsi="Ebrima"/>
              </w:rPr>
              <w:t>4</w:t>
            </w:r>
            <w:r w:rsidR="00AD0C57">
              <w:rPr>
                <w:webHidden/>
              </w:rPr>
              <w:tab/>
            </w:r>
            <w:r w:rsidR="00AD0C57">
              <w:rPr>
                <w:webHidden/>
              </w:rPr>
              <w:fldChar w:fldCharType="begin"/>
            </w:r>
            <w:r w:rsidR="00AD0C57">
              <w:rPr>
                <w:webHidden/>
              </w:rPr>
              <w:instrText xml:space="preserve"> PAGEREF _Toc106119025 \h </w:instrText>
            </w:r>
            <w:r w:rsidR="00AD0C57">
              <w:rPr>
                <w:webHidden/>
              </w:rPr>
            </w:r>
            <w:r w:rsidR="00AD0C57">
              <w:rPr>
                <w:webHidden/>
              </w:rPr>
              <w:fldChar w:fldCharType="separate"/>
            </w:r>
            <w:r w:rsidR="00883D27">
              <w:rPr>
                <w:webHidden/>
              </w:rPr>
              <w:t>23</w:t>
            </w:r>
            <w:r w:rsidR="00AD0C57">
              <w:rPr>
                <w:webHidden/>
              </w:rPr>
              <w:fldChar w:fldCharType="end"/>
            </w:r>
          </w:hyperlink>
        </w:p>
        <w:p w:rsidR="00AD0C57" w:rsidRDefault="00D7544B">
          <w:pPr>
            <w:pStyle w:val="Sumrio1"/>
            <w:rPr>
              <w:rFonts w:asciiTheme="minorHAnsi" w:eastAsiaTheme="minorEastAsia" w:hAnsiTheme="minorHAnsi"/>
              <w:lang w:eastAsia="pt-BR"/>
            </w:rPr>
          </w:pPr>
          <w:hyperlink w:anchor="_Toc106119026" w:history="1">
            <w:r w:rsidR="00AD0C57" w:rsidRPr="00A4181B">
              <w:rPr>
                <w:rStyle w:val="Hyperlink"/>
                <w:rFonts w:ascii="Ebrima" w:hAnsi="Ebrima"/>
              </w:rPr>
              <w:t>7.</w:t>
            </w:r>
            <w:r w:rsidR="00AD0C57">
              <w:rPr>
                <w:rFonts w:asciiTheme="minorHAnsi" w:eastAsiaTheme="minorEastAsia" w:hAnsiTheme="minorHAnsi"/>
                <w:lang w:eastAsia="pt-BR"/>
              </w:rPr>
              <w:tab/>
            </w:r>
            <w:r w:rsidR="00AD0C57" w:rsidRPr="00A4181B">
              <w:rPr>
                <w:rStyle w:val="Hyperlink"/>
                <w:rFonts w:ascii="Ebrima" w:hAnsi="Ebrima"/>
              </w:rPr>
              <w:t>CONSOLIDAÇÃO DAS DESPESAS</w:t>
            </w:r>
            <w:r w:rsidR="00AD0C57">
              <w:rPr>
                <w:webHidden/>
              </w:rPr>
              <w:tab/>
            </w:r>
            <w:r w:rsidR="00AD0C57">
              <w:rPr>
                <w:webHidden/>
              </w:rPr>
              <w:fldChar w:fldCharType="begin"/>
            </w:r>
            <w:r w:rsidR="00AD0C57">
              <w:rPr>
                <w:webHidden/>
              </w:rPr>
              <w:instrText xml:space="preserve"> PAGEREF _Toc106119026 \h </w:instrText>
            </w:r>
            <w:r w:rsidR="00AD0C57">
              <w:rPr>
                <w:webHidden/>
              </w:rPr>
            </w:r>
            <w:r w:rsidR="00AD0C57">
              <w:rPr>
                <w:webHidden/>
              </w:rPr>
              <w:fldChar w:fldCharType="separate"/>
            </w:r>
            <w:r w:rsidR="00883D27">
              <w:rPr>
                <w:webHidden/>
              </w:rPr>
              <w:t>28</w:t>
            </w:r>
            <w:r w:rsidR="00AD0C57">
              <w:rPr>
                <w:webHidden/>
              </w:rPr>
              <w:fldChar w:fldCharType="end"/>
            </w:r>
          </w:hyperlink>
        </w:p>
        <w:p w:rsidR="00AD0C57" w:rsidRDefault="00D7544B">
          <w:pPr>
            <w:pStyle w:val="Sumrio1"/>
            <w:rPr>
              <w:rFonts w:asciiTheme="minorHAnsi" w:eastAsiaTheme="minorEastAsia" w:hAnsiTheme="minorHAnsi"/>
              <w:lang w:eastAsia="pt-BR"/>
            </w:rPr>
          </w:pPr>
          <w:hyperlink w:anchor="_Toc106119027" w:history="1">
            <w:r w:rsidR="00AD0C57" w:rsidRPr="00A4181B">
              <w:rPr>
                <w:rStyle w:val="Hyperlink"/>
                <w:rFonts w:ascii="Ebrima" w:hAnsi="Ebrima"/>
              </w:rPr>
              <w:t>8.</w:t>
            </w:r>
            <w:r w:rsidR="00AD0C57">
              <w:rPr>
                <w:rFonts w:asciiTheme="minorHAnsi" w:eastAsiaTheme="minorEastAsia" w:hAnsiTheme="minorHAnsi"/>
                <w:lang w:eastAsia="pt-BR"/>
              </w:rPr>
              <w:tab/>
            </w:r>
            <w:r w:rsidR="004A5BF7" w:rsidRPr="004A5BF7">
              <w:rPr>
                <w:rStyle w:val="Hyperlink"/>
                <w:rFonts w:ascii="Ebrima" w:hAnsi="Ebrima"/>
              </w:rPr>
              <w:t>DÚVIDAS E ESCLARECIMENTOS</w:t>
            </w:r>
            <w:r w:rsidR="00AD0C57">
              <w:rPr>
                <w:webHidden/>
              </w:rPr>
              <w:tab/>
            </w:r>
            <w:r w:rsidR="00AD0C57">
              <w:rPr>
                <w:webHidden/>
              </w:rPr>
              <w:fldChar w:fldCharType="begin"/>
            </w:r>
            <w:r w:rsidR="00AD0C57">
              <w:rPr>
                <w:webHidden/>
              </w:rPr>
              <w:instrText xml:space="preserve"> PAGEREF _Toc106119027 \h </w:instrText>
            </w:r>
            <w:r w:rsidR="00AD0C57">
              <w:rPr>
                <w:webHidden/>
              </w:rPr>
            </w:r>
            <w:r w:rsidR="00AD0C57">
              <w:rPr>
                <w:webHidden/>
              </w:rPr>
              <w:fldChar w:fldCharType="separate"/>
            </w:r>
            <w:r w:rsidR="00883D27">
              <w:rPr>
                <w:webHidden/>
              </w:rPr>
              <w:t>29</w:t>
            </w:r>
            <w:r w:rsidR="00AD0C57">
              <w:rPr>
                <w:webHidden/>
              </w:rPr>
              <w:fldChar w:fldCharType="end"/>
            </w:r>
          </w:hyperlink>
        </w:p>
        <w:p w:rsidR="00AD0C57" w:rsidRDefault="00D7544B">
          <w:pPr>
            <w:pStyle w:val="Sumrio1"/>
            <w:rPr>
              <w:rFonts w:asciiTheme="minorHAnsi" w:eastAsiaTheme="minorEastAsia" w:hAnsiTheme="minorHAnsi"/>
              <w:lang w:eastAsia="pt-BR"/>
            </w:rPr>
          </w:pPr>
          <w:hyperlink w:anchor="_Toc106119028" w:history="1"/>
        </w:p>
        <w:p w:rsidR="005756C5" w:rsidRDefault="005756C5">
          <w:r w:rsidRPr="00737FF4">
            <w:rPr>
              <w:b/>
              <w:bCs/>
              <w:sz w:val="18"/>
              <w:szCs w:val="18"/>
            </w:rPr>
            <w:fldChar w:fldCharType="end"/>
          </w:r>
        </w:p>
      </w:sdtContent>
    </w:sdt>
    <w:p w:rsidR="005756C5" w:rsidRDefault="005756C5"/>
    <w:p w:rsidR="005756C5" w:rsidRDefault="005756C5">
      <w:r>
        <w:br w:type="page"/>
      </w:r>
    </w:p>
    <w:p w:rsidR="005D05F6" w:rsidRPr="006073C7" w:rsidRDefault="00CA6351" w:rsidP="005756C5">
      <w:pPr>
        <w:pStyle w:val="Ttulo1"/>
        <w:rPr>
          <w:rFonts w:ascii="Ebrima" w:hAnsi="Ebrima"/>
          <w:b/>
          <w:color w:val="0F6FC6" w:themeColor="accent1"/>
        </w:rPr>
      </w:pPr>
      <w:bookmarkStart w:id="0" w:name="_Toc106119007"/>
      <w:r w:rsidRPr="006073C7">
        <w:rPr>
          <w:rFonts w:ascii="Ebrima" w:hAnsi="Ebrima"/>
          <w:b/>
          <w:color w:val="0F6FC6" w:themeColor="accent1"/>
        </w:rPr>
        <w:lastRenderedPageBreak/>
        <w:t>APRESENTAÇÃO</w:t>
      </w:r>
      <w:bookmarkEnd w:id="0"/>
    </w:p>
    <w:p w:rsidR="008121D9" w:rsidRDefault="00CA6351" w:rsidP="00E75F95">
      <w:pPr>
        <w:pStyle w:val="SemEspaamento"/>
        <w:spacing w:after="120"/>
        <w:ind w:right="-1" w:firstLine="851"/>
        <w:jc w:val="both"/>
      </w:pPr>
      <w:r>
        <w:t xml:space="preserve">À Gerência de Elaboração do Orçamento – GEORC da Diretoria de Planejamento Orçamentário - DIOR, da Secretaria de Estado da Fazenda, compete programar, organizar, coordenar, executar e controlar, em nível estadual, atividades relativas à elaboração do Projeto de Lei Orçamentária Anual - PLOA. </w:t>
      </w:r>
    </w:p>
    <w:p w:rsidR="00CA6351" w:rsidRDefault="00CA6351" w:rsidP="00E75F95">
      <w:pPr>
        <w:pStyle w:val="SemEspaamento"/>
        <w:spacing w:after="120"/>
        <w:ind w:right="-1" w:firstLine="851"/>
        <w:jc w:val="both"/>
      </w:pPr>
      <w:r>
        <w:t xml:space="preserve">Cabe a esta Gerência a apresentação das “Orientações </w:t>
      </w:r>
      <w:r w:rsidR="009F25E5">
        <w:t>quanto as Cotas Orçamentárias e a Fixação das Despesas para o exercício de 202</w:t>
      </w:r>
      <w:r w:rsidR="00C60024">
        <w:t>4</w:t>
      </w:r>
      <w:r>
        <w:t xml:space="preserve">”, contendo as informações básicas e as instruções para a </w:t>
      </w:r>
      <w:r w:rsidR="009F25E5">
        <w:t>inserir as despesas no SIGEF</w:t>
      </w:r>
      <w:r>
        <w:t xml:space="preserve">. </w:t>
      </w:r>
    </w:p>
    <w:p w:rsidR="00CA6351" w:rsidRDefault="00CA6351" w:rsidP="00E75F95">
      <w:pPr>
        <w:pStyle w:val="SemEspaamento"/>
        <w:spacing w:after="120"/>
        <w:ind w:right="-1" w:firstLine="851"/>
        <w:jc w:val="both"/>
      </w:pPr>
    </w:p>
    <w:p w:rsidR="00923B69" w:rsidRDefault="00CA6351" w:rsidP="00E75F95">
      <w:pPr>
        <w:pStyle w:val="SemEspaamento"/>
        <w:spacing w:after="120"/>
        <w:ind w:right="-1" w:firstLine="851"/>
        <w:jc w:val="both"/>
      </w:pPr>
      <w:r>
        <w:t>Ressalta-se que o cumprimento do referido cronograma é fundamental para que o prazo de entrega do PLOA à Assembleia Legislativa possa ser cumprido em conformidade com o que determina a Constituição Estadual.</w:t>
      </w:r>
    </w:p>
    <w:p w:rsidR="00F13ACD" w:rsidRDefault="00F13ACD">
      <w:pPr>
        <w:spacing w:line="259" w:lineRule="auto"/>
        <w:ind w:firstLine="0"/>
        <w:jc w:val="left"/>
      </w:pPr>
      <w:r>
        <w:br w:type="page"/>
      </w:r>
    </w:p>
    <w:p w:rsidR="002E40F6" w:rsidRPr="006073C7" w:rsidRDefault="002E40F6" w:rsidP="002E40F6">
      <w:pPr>
        <w:pStyle w:val="Ttulo1"/>
        <w:rPr>
          <w:rFonts w:ascii="Ebrima" w:hAnsi="Ebrima"/>
          <w:b/>
        </w:rPr>
      </w:pPr>
      <w:bookmarkStart w:id="1" w:name="_Toc106119008"/>
      <w:r w:rsidRPr="002E40F6">
        <w:rPr>
          <w:b/>
          <w:noProof/>
          <w:lang w:eastAsia="pt-BR"/>
        </w:rPr>
        <w:lastRenderedPageBreak/>
        <w:drawing>
          <wp:anchor distT="0" distB="0" distL="114300" distR="114300" simplePos="0" relativeHeight="251904000" behindDoc="1" locked="0" layoutInCell="1" allowOverlap="1">
            <wp:simplePos x="0" y="0"/>
            <wp:positionH relativeFrom="page">
              <wp:align>right</wp:align>
            </wp:positionH>
            <wp:positionV relativeFrom="paragraph">
              <wp:posOffset>-1049020</wp:posOffset>
            </wp:positionV>
            <wp:extent cx="1452245" cy="9788056"/>
            <wp:effectExtent l="0" t="0" r="0" b="381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TA3.JPG"/>
                    <pic:cNvPicPr/>
                  </pic:nvPicPr>
                  <pic:blipFill>
                    <a:blip r:embed="rId17">
                      <a:extLst>
                        <a:ext uri="{28A0092B-C50C-407E-A947-70E740481C1C}">
                          <a14:useLocalDpi xmlns:a14="http://schemas.microsoft.com/office/drawing/2010/main" val="0"/>
                        </a:ext>
                      </a:extLst>
                    </a:blip>
                    <a:stretch>
                      <a:fillRect/>
                    </a:stretch>
                  </pic:blipFill>
                  <pic:spPr>
                    <a:xfrm>
                      <a:off x="0" y="0"/>
                      <a:ext cx="1453251" cy="9794836"/>
                    </a:xfrm>
                    <a:prstGeom prst="rect">
                      <a:avLst/>
                    </a:prstGeom>
                  </pic:spPr>
                </pic:pic>
              </a:graphicData>
            </a:graphic>
            <wp14:sizeRelH relativeFrom="margin">
              <wp14:pctWidth>0</wp14:pctWidth>
            </wp14:sizeRelH>
            <wp14:sizeRelV relativeFrom="margin">
              <wp14:pctHeight>0</wp14:pctHeight>
            </wp14:sizeRelV>
          </wp:anchor>
        </w:drawing>
      </w:r>
      <w:r w:rsidRPr="002E40F6">
        <w:rPr>
          <w:b/>
        </w:rPr>
        <w:t xml:space="preserve"> </w:t>
      </w:r>
      <w:r w:rsidRPr="006073C7">
        <w:rPr>
          <w:rFonts w:ascii="Ebrima" w:hAnsi="Ebrima"/>
          <w:b/>
          <w:color w:val="0F6FC6" w:themeColor="accent1"/>
        </w:rPr>
        <w:t>INTRODUÇÃO</w:t>
      </w:r>
      <w:bookmarkEnd w:id="1"/>
    </w:p>
    <w:p w:rsidR="00CA6351" w:rsidRDefault="00CA6351" w:rsidP="00F13ACD">
      <w:pPr>
        <w:pStyle w:val="SemEspaamento"/>
        <w:ind w:right="-1"/>
        <w:jc w:val="both"/>
      </w:pPr>
    </w:p>
    <w:p w:rsidR="00F13ACD" w:rsidRDefault="00F13ACD" w:rsidP="002E40F6">
      <w:pPr>
        <w:ind w:right="1983"/>
      </w:pPr>
      <w:r>
        <w:t>Tradicionalmente, o orçamento é compreendido como uma peça que contém apenas a previsão das receitas e a fixação das despesas para um ano, sem preocupação com programas e ações de desenvolvimento, tratando-se assim de mera peça contábil-financeira. Essa conceituação é uma maneira equivocada e ultrapassada de ver o orçamento público.</w:t>
      </w:r>
    </w:p>
    <w:p w:rsidR="00F13ACD" w:rsidRDefault="00F13ACD" w:rsidP="002E40F6">
      <w:pPr>
        <w:ind w:right="1983"/>
      </w:pPr>
      <w:r>
        <w:t>Hoje, o orçamento público é utilizado como instrumento de planejamento da ação governamental, possuindo um aspecto dinâmico, ao contrário do orçamento tradicional já superado, que possuía caráter eminentemente estático. Desde 1955, as Nações Unidas definem o orçamento público como:</w:t>
      </w:r>
    </w:p>
    <w:p w:rsidR="00F13ACD" w:rsidRDefault="00F13ACD" w:rsidP="002E40F6">
      <w:pPr>
        <w:ind w:right="1983"/>
      </w:pPr>
      <w:r>
        <w:t>O orçamento público apresenta os propósitos e objetivos para os quais os créditos se fazem necessários, os custos dos programas propostos para atingir aqueles objetivos e dados quantitativos que meçam as relações e o trabalho levado a efeito em cada programa.</w:t>
      </w:r>
    </w:p>
    <w:p w:rsidR="00F13ACD" w:rsidRDefault="00F13ACD" w:rsidP="002E40F6">
      <w:pPr>
        <w:ind w:right="1983"/>
      </w:pPr>
      <w:r>
        <w:t>O orçamento público “é o ato pelo qual o Poder Executivo prevê e o Poder Legislativo autoriza, por certo período de tempo, a execução das despesas destinadas ao funcionamento dos serviços públicos e outros fins adotados pela política econômica ou geral do Estado, assim como a arrecadação das receitas previstas em lei”.</w:t>
      </w:r>
    </w:p>
    <w:p w:rsidR="00CA6351" w:rsidRDefault="00F13ACD" w:rsidP="009F5506">
      <w:pPr>
        <w:ind w:right="1983"/>
      </w:pPr>
      <w:r>
        <w:t>A elaboração da proposta será baseada na análise da execução do orçamento vigente e de exercícios anteriores, nas informações e sugestões obtidas junto ao Órgão Central de Planejamento Orçamentário (DIOR), nas diretrizes estabelecidas pelo Governo e nas necessidades específicas de cada Unidade Orçamentária.</w:t>
      </w:r>
      <w:r w:rsidR="00CA6351">
        <w:br w:type="page"/>
      </w:r>
    </w:p>
    <w:p w:rsidR="00CA6351" w:rsidRPr="006073C7" w:rsidRDefault="00F13ACD" w:rsidP="008121D9">
      <w:pPr>
        <w:pStyle w:val="TITULO1"/>
        <w:numPr>
          <w:ilvl w:val="0"/>
          <w:numId w:val="5"/>
        </w:numPr>
        <w:rPr>
          <w:rFonts w:ascii="Ebrima" w:hAnsi="Ebrima"/>
          <w:color w:val="0F6FC6" w:themeColor="accent1"/>
        </w:rPr>
      </w:pPr>
      <w:bookmarkStart w:id="2" w:name="_Toc106119009"/>
      <w:r w:rsidRPr="006073C7">
        <w:rPr>
          <w:rFonts w:ascii="Ebrima" w:hAnsi="Ebrima"/>
          <w:color w:val="0F6FC6" w:themeColor="accent1"/>
        </w:rPr>
        <w:lastRenderedPageBreak/>
        <w:t>ESTRUTURA ORÇAMENTÁRIA</w:t>
      </w:r>
      <w:bookmarkEnd w:id="2"/>
    </w:p>
    <w:p w:rsidR="002E40F6" w:rsidRDefault="002E40F6" w:rsidP="002E40F6">
      <w:pPr>
        <w:ind w:right="-1"/>
      </w:pPr>
      <w:r>
        <w:t>A compreensão do orçamento exige o conhecimento de sua estrutura e de sua organização, implementadas por meio de um sistema de classificação estruturado. Esse sistema tem o propósito de atender às exigências de informações demandadas por todos os interessados nas questões de finanças públicas, tais como: os poderes públicos; as organizações públicas e privadas; e a sociedade em geral.</w:t>
      </w:r>
    </w:p>
    <w:p w:rsidR="00EC395F" w:rsidRPr="0019777E" w:rsidRDefault="002E40F6" w:rsidP="002E40F6">
      <w:pPr>
        <w:ind w:right="-1"/>
      </w:pPr>
      <w:r>
        <w:t>Na estrutura atual do orçamento público, as programações orçamentárias estão organizadas em programas de trabalho, que contêm informações qualitativas e quantitativas, sejam físicas ou financeiras.</w:t>
      </w:r>
    </w:p>
    <w:p w:rsidR="00EC395F" w:rsidRPr="006073C7" w:rsidRDefault="00C735E6" w:rsidP="002E40F6">
      <w:pPr>
        <w:pStyle w:val="Titlulo2"/>
        <w:ind w:right="-1"/>
        <w:rPr>
          <w:rFonts w:ascii="Ebrima" w:hAnsi="Ebrima"/>
          <w:color w:val="0F6FC6" w:themeColor="accent1"/>
        </w:rPr>
      </w:pPr>
      <w:r w:rsidRPr="006073C7">
        <w:rPr>
          <w:rFonts w:ascii="Ebrima" w:hAnsi="Ebrima"/>
          <w:color w:val="0F6FC6" w:themeColor="accent1"/>
        </w:rPr>
        <w:t xml:space="preserve"> </w:t>
      </w:r>
      <w:r w:rsidRPr="006073C7">
        <w:rPr>
          <w:rFonts w:ascii="Ebrima" w:hAnsi="Ebrima"/>
          <w:color w:val="0F6FC6" w:themeColor="accent1"/>
        </w:rPr>
        <w:tab/>
      </w:r>
      <w:bookmarkStart w:id="3" w:name="_Toc106119010"/>
      <w:r w:rsidR="00F13ACD" w:rsidRPr="006073C7">
        <w:rPr>
          <w:rFonts w:ascii="Ebrima" w:hAnsi="Ebrima"/>
          <w:color w:val="0F6FC6" w:themeColor="accent1"/>
        </w:rPr>
        <w:t>Lei Orçamentária Anual</w:t>
      </w:r>
      <w:bookmarkEnd w:id="3"/>
    </w:p>
    <w:p w:rsidR="002E40F6" w:rsidRDefault="002E40F6" w:rsidP="002E40F6">
      <w:pPr>
        <w:ind w:right="-1"/>
      </w:pPr>
      <w:r>
        <w:t>A LOA compreende três orçamentos descri</w:t>
      </w:r>
      <w:r w:rsidR="00E938D7">
        <w:t xml:space="preserve">tos na CF/88: Orçamento Fiscal, </w:t>
      </w:r>
      <w:r>
        <w:t>Orçamento da Seguridade Social</w:t>
      </w:r>
      <w:r w:rsidR="00E938D7">
        <w:t xml:space="preserve"> e Orçamento de Investimentos</w:t>
      </w:r>
      <w:r>
        <w:t xml:space="preserve"> (art. 165, § 5º, e artigos 162 e 163, respectivamente).</w:t>
      </w:r>
    </w:p>
    <w:p w:rsidR="002E40F6" w:rsidRDefault="00C813B7" w:rsidP="002E40F6">
      <w:pPr>
        <w:ind w:right="-1"/>
      </w:pPr>
      <w:r>
        <w:rPr>
          <w:noProof/>
          <w:lang w:eastAsia="pt-BR"/>
        </w:rPr>
        <w:drawing>
          <wp:anchor distT="0" distB="0" distL="114300" distR="114300" simplePos="0" relativeHeight="251966464" behindDoc="1" locked="0" layoutInCell="1" allowOverlap="1">
            <wp:simplePos x="0" y="0"/>
            <wp:positionH relativeFrom="column">
              <wp:posOffset>32385</wp:posOffset>
            </wp:positionH>
            <wp:positionV relativeFrom="paragraph">
              <wp:posOffset>67945</wp:posOffset>
            </wp:positionV>
            <wp:extent cx="2295525" cy="2124075"/>
            <wp:effectExtent l="0" t="0" r="9525" b="9525"/>
            <wp:wrapTight wrapText="bothSides">
              <wp:wrapPolygon edited="0">
                <wp:start x="0" y="0"/>
                <wp:lineTo x="0" y="21503"/>
                <wp:lineTo x="21510" y="21503"/>
                <wp:lineTo x="21510" y="0"/>
                <wp:lineTo x="0" y="0"/>
              </wp:wrapPolygon>
            </wp:wrapTight>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295525" cy="2124075"/>
                    </a:xfrm>
                    <a:prstGeom prst="rect">
                      <a:avLst/>
                    </a:prstGeom>
                  </pic:spPr>
                </pic:pic>
              </a:graphicData>
            </a:graphic>
            <wp14:sizeRelH relativeFrom="margin">
              <wp14:pctWidth>0</wp14:pctWidth>
            </wp14:sizeRelH>
            <wp14:sizeRelV relativeFrom="margin">
              <wp14:pctHeight>0</wp14:pctHeight>
            </wp14:sizeRelV>
          </wp:anchor>
        </w:drawing>
      </w:r>
    </w:p>
    <w:p w:rsidR="002E40F6" w:rsidRDefault="002E40F6" w:rsidP="006073C7">
      <w:pPr>
        <w:pStyle w:val="PargrafodaLista"/>
        <w:numPr>
          <w:ilvl w:val="0"/>
          <w:numId w:val="37"/>
        </w:numPr>
        <w:ind w:right="-1"/>
      </w:pPr>
      <w:r w:rsidRPr="006073C7">
        <w:rPr>
          <w:b/>
          <w:color w:val="0F6FC6" w:themeColor="accent1"/>
        </w:rPr>
        <w:t>Orçamento Fiscal</w:t>
      </w:r>
      <w:r w:rsidRPr="006073C7">
        <w:rPr>
          <w:color w:val="0F6FC6" w:themeColor="accent1"/>
        </w:rPr>
        <w:t xml:space="preserve"> </w:t>
      </w:r>
      <w:r>
        <w:t>- compreende toda a administração pública, direta e indireta (todos os Poderes, Ministério Público, Defensoria Pública, Tribunal de Contas, órgãos, fundos, autarquias, fundações públicas, empresas públicas, sociedades de economia mista), englobando a despesa e receita de todos esses entes para um exercício financeiro, exceto os investimentos de empresas estatais e as receitas e despesas relativas à seguridade social.</w:t>
      </w:r>
    </w:p>
    <w:p w:rsidR="00C813B7" w:rsidRDefault="00C813B7" w:rsidP="002E40F6">
      <w:pPr>
        <w:ind w:right="-1" w:firstLine="0"/>
      </w:pPr>
    </w:p>
    <w:p w:rsidR="002E40F6" w:rsidRDefault="002E40F6" w:rsidP="006073C7">
      <w:pPr>
        <w:pStyle w:val="PargrafodaLista"/>
        <w:numPr>
          <w:ilvl w:val="0"/>
          <w:numId w:val="37"/>
        </w:numPr>
        <w:ind w:right="-1"/>
      </w:pPr>
      <w:r w:rsidRPr="006073C7">
        <w:rPr>
          <w:b/>
          <w:color w:val="0F6FC6" w:themeColor="accent1"/>
        </w:rPr>
        <w:t>Orçamento da Seguridade Social</w:t>
      </w:r>
      <w:r w:rsidRPr="006073C7">
        <w:rPr>
          <w:color w:val="0F6FC6" w:themeColor="accent1"/>
        </w:rPr>
        <w:t xml:space="preserve"> </w:t>
      </w:r>
      <w:r>
        <w:t>– abrange, nas áreas de saúde, previdência e assistência social, todas as entidades e órgãos a ela vinculados, da administração direta ou indireta, bem como os fundos e fundações instituídos e mantidos pelo Poder Público. A razão da desvinculação das ações relativas a estas áreas de atuação, do orçamento fiscal para um orçamento específico - da seguridade social - é garantir que esses recursos não sejam desviados para qualquer outro fim. Visa, pois, conferir transparência à gestão da seguridade social.</w:t>
      </w:r>
    </w:p>
    <w:p w:rsidR="006073C7" w:rsidRDefault="006073C7" w:rsidP="006073C7">
      <w:pPr>
        <w:pStyle w:val="PargrafodaLista"/>
      </w:pPr>
    </w:p>
    <w:p w:rsidR="006073C7" w:rsidRDefault="006073C7" w:rsidP="006073C7">
      <w:pPr>
        <w:pStyle w:val="PargrafodaLista"/>
        <w:ind w:right="-1" w:firstLine="0"/>
      </w:pPr>
    </w:p>
    <w:p w:rsidR="002E40F6" w:rsidRDefault="002E40F6" w:rsidP="006073C7">
      <w:pPr>
        <w:pStyle w:val="PargrafodaLista"/>
        <w:numPr>
          <w:ilvl w:val="0"/>
          <w:numId w:val="37"/>
        </w:numPr>
        <w:ind w:right="-1"/>
      </w:pPr>
      <w:r w:rsidRPr="006073C7">
        <w:rPr>
          <w:b/>
          <w:color w:val="0F6FC6" w:themeColor="accent1"/>
        </w:rPr>
        <w:t>Orçamento de Investimento</w:t>
      </w:r>
      <w:r w:rsidRPr="006073C7">
        <w:rPr>
          <w:color w:val="0F6FC6" w:themeColor="accent1"/>
        </w:rPr>
        <w:t xml:space="preserve"> </w:t>
      </w:r>
      <w:r>
        <w:t>- engloba as empresas em que o Poder Público, direta ou indiretamente, detenha a maioria do capital social com direito a voto (empresas públicas e sociedade de economia mista) e que sejam consideradas não dependentes ou seja as empresas que não necessitam de recursos oriundos do orçamento fiscal para se manterem.</w:t>
      </w:r>
    </w:p>
    <w:p w:rsidR="002E40F6" w:rsidRDefault="002E40F6">
      <w:pPr>
        <w:spacing w:line="259" w:lineRule="auto"/>
        <w:ind w:firstLine="0"/>
        <w:jc w:val="left"/>
      </w:pPr>
      <w:r>
        <w:br w:type="page"/>
      </w:r>
    </w:p>
    <w:p w:rsidR="002E40F6" w:rsidRPr="006073C7" w:rsidRDefault="00E938D7" w:rsidP="002E40F6">
      <w:pPr>
        <w:pStyle w:val="Titlulo2"/>
        <w:rPr>
          <w:rFonts w:ascii="Ebrima" w:hAnsi="Ebrima"/>
          <w:color w:val="0F6FC6" w:themeColor="accent1"/>
        </w:rPr>
      </w:pPr>
      <w:bookmarkStart w:id="4" w:name="_Toc106119011"/>
      <w:r w:rsidRPr="006073C7">
        <w:rPr>
          <w:rFonts w:ascii="Ebrima" w:hAnsi="Ebrima"/>
          <w:color w:val="0F6FC6" w:themeColor="accent1"/>
        </w:rPr>
        <w:lastRenderedPageBreak/>
        <w:t>Classificação Orçamentária da Despesa</w:t>
      </w:r>
      <w:bookmarkEnd w:id="4"/>
      <w:r w:rsidR="00F445DA" w:rsidRPr="006073C7">
        <w:rPr>
          <w:rFonts w:ascii="Ebrima" w:hAnsi="Ebrima"/>
          <w:noProof/>
          <w:color w:val="0F6FC6" w:themeColor="accent1"/>
          <w:lang w:eastAsia="pt-BR"/>
        </w:rPr>
        <w:t xml:space="preserve"> </w:t>
      </w:r>
    </w:p>
    <w:p w:rsidR="00E938D7" w:rsidRDefault="00E938D7" w:rsidP="00E938D7">
      <w:r>
        <w:t xml:space="preserve">A classificação orçamentária permite a visualização da despesa sob diferentes enfoques ou abordagens, conforme o ângulo que se pretende analisar. Cada uma delas possui uma função ou finalidade específica e um objetivo, justificando sua criação, e pode ser associada a uma questão básica que procura responder a indagações da sociedade organizada e do próprio Governo, como por exemplo: quanto do total é gasto com a função Segurança Pública; quanto o Governo do Estado gasta com pessoal e encargos sociais; quanto custa anualmente a manutenção da ação governamental; qual a despesa anual com a Secretaria de Educação, etc. </w:t>
      </w:r>
    </w:p>
    <w:p w:rsidR="00E938D7" w:rsidRDefault="00E938D7" w:rsidP="00E938D7"/>
    <w:p w:rsidR="002E40F6" w:rsidRDefault="00E938D7" w:rsidP="00E938D7">
      <w:r>
        <w:t>A Lei Federal nº 4.320/64 e normas posteriores estabelecem a classificação da despesa da seguinte forma:</w:t>
      </w:r>
    </w:p>
    <w:p w:rsidR="00E938D7" w:rsidRDefault="00E938D7" w:rsidP="00E938D7">
      <w:r>
        <w:rPr>
          <w:noProof/>
          <w:lang w:eastAsia="pt-BR"/>
        </w:rPr>
        <w:drawing>
          <wp:inline distT="0" distB="0" distL="0" distR="0">
            <wp:extent cx="4882551" cy="2355011"/>
            <wp:effectExtent l="0" t="0" r="0" b="64770"/>
            <wp:docPr id="15" name="Diagrama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2E40F6" w:rsidRDefault="002E40F6" w:rsidP="002E40F6">
      <w:pPr>
        <w:ind w:right="-1" w:firstLine="0"/>
      </w:pPr>
    </w:p>
    <w:p w:rsidR="00E938D7" w:rsidRPr="006700CF" w:rsidRDefault="00E938D7" w:rsidP="00E938D7">
      <w:r w:rsidRPr="006700CF">
        <w:t xml:space="preserve">Detalhes sobre a classificação orçamentária da despesa podem ser vistos no </w:t>
      </w:r>
      <w:r w:rsidRPr="006700CF">
        <w:rPr>
          <w:b/>
        </w:rPr>
        <w:t>Manual Técnico n° 001 - Orientações para a elaboração da proposta orçamentária do Estado de Santa Catarina para o Exercício de 202</w:t>
      </w:r>
      <w:r w:rsidR="00A24813" w:rsidRPr="006700CF">
        <w:rPr>
          <w:b/>
        </w:rPr>
        <w:t>4</w:t>
      </w:r>
      <w:r w:rsidRPr="006700CF">
        <w:t xml:space="preserve"> acesso em:</w:t>
      </w:r>
    </w:p>
    <w:p w:rsidR="00C813B7" w:rsidRPr="00D7544B" w:rsidRDefault="00E938D7" w:rsidP="00E938D7">
      <w:pPr>
        <w:spacing w:line="259" w:lineRule="auto"/>
        <w:ind w:firstLine="0"/>
        <w:jc w:val="left"/>
        <w:rPr>
          <w:color w:val="2191C9" w:themeColor="background2" w:themeShade="80"/>
        </w:rPr>
      </w:pPr>
      <w:r w:rsidRPr="00D7544B">
        <w:rPr>
          <w:color w:val="2191C9" w:themeColor="background2" w:themeShade="80"/>
        </w:rPr>
        <w:t>http://www.sef.sc.gov.br/servicos/assunto/48/Lei_Or%C3%A7ament%C3%A1ria_Anual_-_LOA</w:t>
      </w:r>
      <w:bookmarkStart w:id="5" w:name="_GoBack"/>
      <w:bookmarkEnd w:id="5"/>
    </w:p>
    <w:p w:rsidR="00ED5197" w:rsidRPr="003235F2" w:rsidRDefault="00ED5197" w:rsidP="00E938D7">
      <w:pPr>
        <w:spacing w:line="259" w:lineRule="auto"/>
        <w:ind w:firstLine="0"/>
        <w:jc w:val="left"/>
      </w:pPr>
      <w:r w:rsidRPr="003235F2">
        <w:rPr>
          <w:b/>
        </w:rPr>
        <w:t>Decreto de classificação de Fontes de Recursos</w:t>
      </w:r>
      <w:r w:rsidRPr="003235F2">
        <w:t xml:space="preserve">: </w:t>
      </w:r>
    </w:p>
    <w:p w:rsidR="003235F2" w:rsidRPr="00D7544B" w:rsidRDefault="003235F2" w:rsidP="00E938D7">
      <w:pPr>
        <w:spacing w:line="259" w:lineRule="auto"/>
        <w:ind w:firstLine="0"/>
        <w:jc w:val="left"/>
        <w:rPr>
          <w:color w:val="2191C9" w:themeColor="background2" w:themeShade="80"/>
        </w:rPr>
      </w:pPr>
      <w:r w:rsidRPr="00D7544B">
        <w:rPr>
          <w:color w:val="2191C9" w:themeColor="background2" w:themeShade="80"/>
        </w:rPr>
        <w:t xml:space="preserve">https://www.sef.sc.gov.br/arquivos_portal/legislacoes/899/DEC._2.141_2022_FR_e_demais_decretos.pdf </w:t>
      </w:r>
    </w:p>
    <w:p w:rsidR="00ED5197" w:rsidRPr="00A22E31" w:rsidRDefault="00ED5197" w:rsidP="00E938D7">
      <w:pPr>
        <w:spacing w:line="259" w:lineRule="auto"/>
        <w:ind w:firstLine="0"/>
        <w:jc w:val="left"/>
        <w:rPr>
          <w:b/>
        </w:rPr>
      </w:pPr>
      <w:r w:rsidRPr="00A22E31">
        <w:rPr>
          <w:b/>
        </w:rPr>
        <w:t xml:space="preserve">Decreto de classificação de </w:t>
      </w:r>
      <w:r w:rsidR="00A22E31" w:rsidRPr="00A22E31">
        <w:rPr>
          <w:b/>
        </w:rPr>
        <w:t>Despesas</w:t>
      </w:r>
    </w:p>
    <w:p w:rsidR="00ED5197" w:rsidRPr="006073C7" w:rsidRDefault="00D7544B" w:rsidP="00E938D7">
      <w:pPr>
        <w:spacing w:line="259" w:lineRule="auto"/>
        <w:ind w:firstLine="0"/>
        <w:jc w:val="left"/>
        <w:rPr>
          <w:color w:val="0F6FC6" w:themeColor="accent1"/>
        </w:rPr>
      </w:pPr>
      <w:hyperlink r:id="rId24" w:history="1">
        <w:r w:rsidR="00ED5197" w:rsidRPr="006073C7">
          <w:rPr>
            <w:rStyle w:val="Hyperlink"/>
            <w:color w:val="0F6FC6" w:themeColor="accent1"/>
          </w:rPr>
          <w:t>http://www.sef.sc.gov.br/arquivos_portal/legislacoes/28/Decreto_n__1.323_Classificacao_da_Despesa_Publica_de_21.12.2012.pdf</w:t>
        </w:r>
      </w:hyperlink>
    </w:p>
    <w:p w:rsidR="00C813B7" w:rsidRDefault="00C813B7" w:rsidP="00E938D7">
      <w:pPr>
        <w:spacing w:line="259" w:lineRule="auto"/>
        <w:ind w:firstLine="0"/>
        <w:jc w:val="left"/>
      </w:pPr>
    </w:p>
    <w:p w:rsidR="00AC3492" w:rsidRDefault="00AC3492" w:rsidP="00AC3492">
      <w:pPr>
        <w:pStyle w:val="Titlulo2"/>
        <w:numPr>
          <w:ilvl w:val="0"/>
          <w:numId w:val="0"/>
        </w:numPr>
        <w:rPr>
          <w:rFonts w:ascii="Ebrima" w:hAnsi="Ebrima"/>
          <w:color w:val="0F6FC6" w:themeColor="accent1"/>
        </w:rPr>
      </w:pPr>
      <w:bookmarkStart w:id="6" w:name="_Toc106119012"/>
    </w:p>
    <w:p w:rsidR="00AC3492" w:rsidRDefault="00AC3492" w:rsidP="00AC3492">
      <w:pPr>
        <w:pStyle w:val="Titlulo2"/>
        <w:numPr>
          <w:ilvl w:val="0"/>
          <w:numId w:val="0"/>
        </w:numPr>
        <w:rPr>
          <w:rFonts w:ascii="Ebrima" w:hAnsi="Ebrima"/>
          <w:color w:val="0F6FC6" w:themeColor="accent1"/>
        </w:rPr>
      </w:pPr>
    </w:p>
    <w:p w:rsidR="00E938D7" w:rsidRPr="006073C7" w:rsidRDefault="00E938D7" w:rsidP="00E938D7">
      <w:pPr>
        <w:pStyle w:val="Titlulo2"/>
        <w:rPr>
          <w:rFonts w:ascii="Ebrima" w:hAnsi="Ebrima"/>
          <w:color w:val="0F6FC6" w:themeColor="accent1"/>
        </w:rPr>
      </w:pPr>
      <w:r w:rsidRPr="006073C7">
        <w:rPr>
          <w:rFonts w:ascii="Ebrima" w:hAnsi="Ebrima"/>
          <w:color w:val="0F6FC6" w:themeColor="accent1"/>
        </w:rPr>
        <w:lastRenderedPageBreak/>
        <w:t>Quadro de Detalhamento da Despesa (QDD)</w:t>
      </w:r>
      <w:bookmarkEnd w:id="6"/>
      <w:r w:rsidR="00F445DA" w:rsidRPr="006073C7">
        <w:rPr>
          <w:rFonts w:ascii="Ebrima" w:hAnsi="Ebrima"/>
          <w:noProof/>
          <w:color w:val="0F6FC6" w:themeColor="accent1"/>
          <w:lang w:eastAsia="pt-BR"/>
        </w:rPr>
        <w:t xml:space="preserve"> </w:t>
      </w:r>
    </w:p>
    <w:p w:rsidR="00E938D7" w:rsidRDefault="00E938D7" w:rsidP="009D003E">
      <w:r>
        <w:t>O QDD é um demonstrativo que evidencia toda a estrutura funcional programática do orçamento público, conforme pode ser observado do exemplo a seguir:</w:t>
      </w:r>
    </w:p>
    <w:p w:rsidR="009D003E" w:rsidRDefault="009D003E" w:rsidP="009D003E"/>
    <w:p w:rsidR="009D003E" w:rsidRDefault="00CD1C4D" w:rsidP="00E938D7">
      <w:pPr>
        <w:ind w:right="-1" w:firstLine="0"/>
      </w:pPr>
      <w:r>
        <w:rPr>
          <w:noProof/>
          <w:lang w:eastAsia="pt-BR"/>
        </w:rPr>
        <mc:AlternateContent>
          <mc:Choice Requires="wps">
            <w:drawing>
              <wp:anchor distT="0" distB="0" distL="114300" distR="114300" simplePos="0" relativeHeight="251988992" behindDoc="0" locked="0" layoutInCell="1" allowOverlap="1" wp14:anchorId="69C5C085" wp14:editId="627798F0">
                <wp:simplePos x="0" y="0"/>
                <wp:positionH relativeFrom="column">
                  <wp:posOffset>3970655</wp:posOffset>
                </wp:positionH>
                <wp:positionV relativeFrom="paragraph">
                  <wp:posOffset>923925</wp:posOffset>
                </wp:positionV>
                <wp:extent cx="436880" cy="588010"/>
                <wp:effectExtent l="0" t="0" r="20320" b="21590"/>
                <wp:wrapNone/>
                <wp:docPr id="12" name="Caixa de Texto 12"/>
                <wp:cNvGraphicFramePr/>
                <a:graphic xmlns:a="http://schemas.openxmlformats.org/drawingml/2006/main">
                  <a:graphicData uri="http://schemas.microsoft.com/office/word/2010/wordprocessingShape">
                    <wps:wsp>
                      <wps:cNvSpPr txBox="1"/>
                      <wps:spPr>
                        <a:xfrm>
                          <a:off x="0" y="0"/>
                          <a:ext cx="436880" cy="588010"/>
                        </a:xfrm>
                        <a:prstGeom prst="rect">
                          <a:avLst/>
                        </a:prstGeom>
                        <a:noFill/>
                        <a:ln w="19050">
                          <a:solidFill>
                            <a:schemeClr val="accent2"/>
                          </a:solidFill>
                        </a:ln>
                      </wps:spPr>
                      <wps:txbx>
                        <w:txbxContent>
                          <w:p w:rsidR="00195FDE" w:rsidRPr="00252ACE" w:rsidRDefault="00195FDE" w:rsidP="006A5198">
                            <w:pPr>
                              <w:spacing w:before="120"/>
                              <w:ind w:firstLine="0"/>
                              <w:jc w:val="center"/>
                              <w:rPr>
                                <w:b/>
                                <w:color w:val="009DD9" w:themeColor="accent2"/>
                              </w:rPr>
                            </w:pPr>
                            <w:r>
                              <w:rPr>
                                <w:b/>
                                <w:color w:val="009DD9" w:themeColor="accent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5C085" id="Caixa de Texto 12" o:spid="_x0000_s1028" type="#_x0000_t202" style="position:absolute;left:0;text-align:left;margin-left:312.65pt;margin-top:72.75pt;width:34.4pt;height:46.3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" filled="f" strokecolor="#009dd9 [3205]" strokeweight="1.5pt">
                <v:textbox>
                  <w:txbxContent>
                    <w:p w:rsidR="00195FDE" w:rsidRPr="00252ACE" w:rsidRDefault="00195FDE" w:rsidP="006A5198">
                      <w:pPr>
                        <w:spacing w:before="120"/>
                        <w:ind w:firstLine="0"/>
                        <w:jc w:val="center"/>
                        <w:rPr>
                          <w:b/>
                          <w:color w:val="009DD9" w:themeColor="accent2"/>
                        </w:rPr>
                      </w:pPr>
                      <w:r>
                        <w:rPr>
                          <w:b/>
                          <w:color w:val="009DD9" w:themeColor="accent2"/>
                        </w:rPr>
                        <w:t>5</w:t>
                      </w:r>
                    </w:p>
                  </w:txbxContent>
                </v:textbox>
              </v:shape>
            </w:pict>
          </mc:Fallback>
        </mc:AlternateContent>
      </w:r>
      <w:r>
        <w:rPr>
          <w:noProof/>
          <w:lang w:eastAsia="pt-BR"/>
        </w:rPr>
        <mc:AlternateContent>
          <mc:Choice Requires="wps">
            <w:drawing>
              <wp:anchor distT="0" distB="0" distL="114300" distR="114300" simplePos="0" relativeHeight="251978752" behindDoc="0" locked="0" layoutInCell="1" allowOverlap="1" wp14:anchorId="18E4619E" wp14:editId="0C81B8A1">
                <wp:simplePos x="0" y="0"/>
                <wp:positionH relativeFrom="column">
                  <wp:posOffset>3458210</wp:posOffset>
                </wp:positionH>
                <wp:positionV relativeFrom="paragraph">
                  <wp:posOffset>922020</wp:posOffset>
                </wp:positionV>
                <wp:extent cx="483235" cy="588010"/>
                <wp:effectExtent l="0" t="0" r="12065" b="21590"/>
                <wp:wrapNone/>
                <wp:docPr id="33" name="Caixa de Texto 33"/>
                <wp:cNvGraphicFramePr/>
                <a:graphic xmlns:a="http://schemas.openxmlformats.org/drawingml/2006/main">
                  <a:graphicData uri="http://schemas.microsoft.com/office/word/2010/wordprocessingShape">
                    <wps:wsp>
                      <wps:cNvSpPr txBox="1"/>
                      <wps:spPr>
                        <a:xfrm>
                          <a:off x="0" y="0"/>
                          <a:ext cx="483235" cy="588010"/>
                        </a:xfrm>
                        <a:prstGeom prst="rect">
                          <a:avLst/>
                        </a:prstGeom>
                        <a:noFill/>
                        <a:ln w="19050">
                          <a:solidFill>
                            <a:schemeClr val="accent2"/>
                          </a:solidFill>
                        </a:ln>
                      </wps:spPr>
                      <wps:txbx>
                        <w:txbxContent>
                          <w:p w:rsidR="00195FDE" w:rsidRPr="00252ACE" w:rsidRDefault="00195FDE" w:rsidP="006A5198">
                            <w:pPr>
                              <w:spacing w:before="120"/>
                              <w:ind w:firstLine="0"/>
                              <w:jc w:val="center"/>
                              <w:rPr>
                                <w:b/>
                                <w:color w:val="009DD9" w:themeColor="accent2"/>
                              </w:rPr>
                            </w:pPr>
                            <w:r>
                              <w:rPr>
                                <w:b/>
                                <w:color w:val="009DD9" w:themeColor="accent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4619E" id="Caixa de Texto 33" o:spid="_x0000_s1029" type="#_x0000_t202" style="position:absolute;left:0;text-align:left;margin-left:272.3pt;margin-top:72.6pt;width:38.05pt;height:46.3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" filled="f" strokecolor="#009dd9 [3205]" strokeweight="1.5pt">
                <v:textbox>
                  <w:txbxContent>
                    <w:p w:rsidR="00195FDE" w:rsidRPr="00252ACE" w:rsidRDefault="00195FDE" w:rsidP="006A5198">
                      <w:pPr>
                        <w:spacing w:before="120"/>
                        <w:ind w:firstLine="0"/>
                        <w:jc w:val="center"/>
                        <w:rPr>
                          <w:b/>
                          <w:color w:val="009DD9" w:themeColor="accent2"/>
                        </w:rPr>
                      </w:pPr>
                      <w:r>
                        <w:rPr>
                          <w:b/>
                          <w:color w:val="009DD9" w:themeColor="accent2"/>
                        </w:rPr>
                        <w:t>4</w:t>
                      </w:r>
                    </w:p>
                  </w:txbxContent>
                </v:textbox>
              </v:shape>
            </w:pict>
          </mc:Fallback>
        </mc:AlternateContent>
      </w:r>
      <w:r w:rsidR="00AC370F">
        <w:rPr>
          <w:noProof/>
          <w:lang w:eastAsia="pt-BR"/>
        </w:rPr>
        <mc:AlternateContent>
          <mc:Choice Requires="wps">
            <w:drawing>
              <wp:anchor distT="0" distB="0" distL="114300" distR="114300" simplePos="0" relativeHeight="251993088" behindDoc="0" locked="0" layoutInCell="1" allowOverlap="1" wp14:anchorId="37523C8F" wp14:editId="68E9FE5B">
                <wp:simplePos x="0" y="0"/>
                <wp:positionH relativeFrom="column">
                  <wp:posOffset>5534660</wp:posOffset>
                </wp:positionH>
                <wp:positionV relativeFrom="paragraph">
                  <wp:posOffset>928370</wp:posOffset>
                </wp:positionV>
                <wp:extent cx="437322" cy="488950"/>
                <wp:effectExtent l="0" t="0" r="20320" b="25400"/>
                <wp:wrapNone/>
                <wp:docPr id="16" name="Caixa de Texto 16"/>
                <wp:cNvGraphicFramePr/>
                <a:graphic xmlns:a="http://schemas.openxmlformats.org/drawingml/2006/main">
                  <a:graphicData uri="http://schemas.microsoft.com/office/word/2010/wordprocessingShape">
                    <wps:wsp>
                      <wps:cNvSpPr txBox="1"/>
                      <wps:spPr>
                        <a:xfrm>
                          <a:off x="0" y="0"/>
                          <a:ext cx="437322" cy="488950"/>
                        </a:xfrm>
                        <a:prstGeom prst="rect">
                          <a:avLst/>
                        </a:prstGeom>
                        <a:noFill/>
                        <a:ln w="19050">
                          <a:solidFill>
                            <a:schemeClr val="accent2"/>
                          </a:solidFill>
                        </a:ln>
                      </wps:spPr>
                      <wps:txbx>
                        <w:txbxContent>
                          <w:p w:rsidR="00195FDE" w:rsidRDefault="00195FDE" w:rsidP="00AC370F">
                            <w:pPr>
                              <w:spacing w:after="0"/>
                              <w:ind w:firstLine="0"/>
                              <w:jc w:val="center"/>
                              <w:rPr>
                                <w:b/>
                                <w:color w:val="009DD9" w:themeColor="accent2"/>
                              </w:rPr>
                            </w:pPr>
                          </w:p>
                          <w:p w:rsidR="00195FDE" w:rsidRPr="00252ACE" w:rsidRDefault="00195FDE" w:rsidP="00AC370F">
                            <w:pPr>
                              <w:spacing w:before="120" w:after="0"/>
                              <w:ind w:firstLine="0"/>
                              <w:jc w:val="center"/>
                              <w:rPr>
                                <w:b/>
                                <w:color w:val="009DD9" w:themeColor="accent2"/>
                              </w:rPr>
                            </w:pPr>
                            <w:r>
                              <w:rPr>
                                <w:b/>
                                <w:color w:val="009DD9" w:themeColor="accent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23C8F" id="Caixa de Texto 16" o:spid="_x0000_s1030" type="#_x0000_t202" style="position:absolute;left:0;text-align:left;margin-left:435.8pt;margin-top:73.1pt;width:34.45pt;height:38.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" filled="f" strokecolor="#009dd9 [3205]" strokeweight="1.5pt">
                <v:textbox>
                  <w:txbxContent>
                    <w:p w:rsidR="00195FDE" w:rsidRDefault="00195FDE" w:rsidP="00AC370F">
                      <w:pPr>
                        <w:spacing w:after="0"/>
                        <w:ind w:firstLine="0"/>
                        <w:jc w:val="center"/>
                        <w:rPr>
                          <w:b/>
                          <w:color w:val="009DD9" w:themeColor="accent2"/>
                        </w:rPr>
                      </w:pPr>
                    </w:p>
                    <w:p w:rsidR="00195FDE" w:rsidRPr="00252ACE" w:rsidRDefault="00195FDE" w:rsidP="00AC370F">
                      <w:pPr>
                        <w:spacing w:before="120" w:after="0"/>
                        <w:ind w:firstLine="0"/>
                        <w:jc w:val="center"/>
                        <w:rPr>
                          <w:b/>
                          <w:color w:val="009DD9" w:themeColor="accent2"/>
                        </w:rPr>
                      </w:pPr>
                      <w:r>
                        <w:rPr>
                          <w:b/>
                          <w:color w:val="009DD9" w:themeColor="accent2"/>
                        </w:rPr>
                        <w:t>7</w:t>
                      </w:r>
                    </w:p>
                  </w:txbxContent>
                </v:textbox>
              </v:shape>
            </w:pict>
          </mc:Fallback>
        </mc:AlternateContent>
      </w:r>
      <w:r w:rsidR="00AC370F">
        <w:rPr>
          <w:noProof/>
          <w:lang w:eastAsia="pt-BR"/>
        </w:rPr>
        <mc:AlternateContent>
          <mc:Choice Requires="wps">
            <w:drawing>
              <wp:anchor distT="0" distB="0" distL="114300" distR="114300" simplePos="0" relativeHeight="251991040" behindDoc="0" locked="0" layoutInCell="1" allowOverlap="1" wp14:anchorId="32E2DCB2" wp14:editId="44397919">
                <wp:simplePos x="0" y="0"/>
                <wp:positionH relativeFrom="column">
                  <wp:posOffset>4721860</wp:posOffset>
                </wp:positionH>
                <wp:positionV relativeFrom="paragraph">
                  <wp:posOffset>928370</wp:posOffset>
                </wp:positionV>
                <wp:extent cx="437322" cy="588397"/>
                <wp:effectExtent l="0" t="0" r="20320" b="21590"/>
                <wp:wrapNone/>
                <wp:docPr id="13" name="Caixa de Texto 13"/>
                <wp:cNvGraphicFramePr/>
                <a:graphic xmlns:a="http://schemas.openxmlformats.org/drawingml/2006/main">
                  <a:graphicData uri="http://schemas.microsoft.com/office/word/2010/wordprocessingShape">
                    <wps:wsp>
                      <wps:cNvSpPr txBox="1"/>
                      <wps:spPr>
                        <a:xfrm>
                          <a:off x="0" y="0"/>
                          <a:ext cx="437322" cy="588397"/>
                        </a:xfrm>
                        <a:prstGeom prst="rect">
                          <a:avLst/>
                        </a:prstGeom>
                        <a:noFill/>
                        <a:ln w="19050">
                          <a:solidFill>
                            <a:schemeClr val="accent2"/>
                          </a:solidFill>
                        </a:ln>
                      </wps:spPr>
                      <wps:txbx>
                        <w:txbxContent>
                          <w:p w:rsidR="00195FDE" w:rsidRPr="00252ACE" w:rsidRDefault="00195FDE" w:rsidP="00AC370F">
                            <w:pPr>
                              <w:spacing w:before="120"/>
                              <w:ind w:firstLine="0"/>
                              <w:jc w:val="center"/>
                              <w:rPr>
                                <w:b/>
                                <w:color w:val="009DD9" w:themeColor="accent2"/>
                              </w:rPr>
                            </w:pPr>
                            <w:r>
                              <w:rPr>
                                <w:b/>
                                <w:color w:val="009DD9" w:themeColor="accent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2DCB2" id="Caixa de Texto 13" o:spid="_x0000_s1031" type="#_x0000_t202" style="position:absolute;left:0;text-align:left;margin-left:371.8pt;margin-top:73.1pt;width:34.45pt;height:46.3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" filled="f" strokecolor="#009dd9 [3205]" strokeweight="1.5pt">
                <v:textbox>
                  <w:txbxContent>
                    <w:p w:rsidR="00195FDE" w:rsidRPr="00252ACE" w:rsidRDefault="00195FDE" w:rsidP="00AC370F">
                      <w:pPr>
                        <w:spacing w:before="120"/>
                        <w:ind w:firstLine="0"/>
                        <w:jc w:val="center"/>
                        <w:rPr>
                          <w:b/>
                          <w:color w:val="009DD9" w:themeColor="accent2"/>
                        </w:rPr>
                      </w:pPr>
                      <w:r>
                        <w:rPr>
                          <w:b/>
                          <w:color w:val="009DD9" w:themeColor="accent2"/>
                        </w:rPr>
                        <w:t>6</w:t>
                      </w:r>
                    </w:p>
                  </w:txbxContent>
                </v:textbox>
              </v:shape>
            </w:pict>
          </mc:Fallback>
        </mc:AlternateContent>
      </w:r>
      <w:r w:rsidR="00AC370F">
        <w:rPr>
          <w:noProof/>
          <w:lang w:eastAsia="pt-BR"/>
        </w:rPr>
        <mc:AlternateContent>
          <mc:Choice Requires="wps">
            <w:drawing>
              <wp:anchor distT="0" distB="0" distL="114300" distR="114300" simplePos="0" relativeHeight="251972608" behindDoc="0" locked="0" layoutInCell="1" allowOverlap="1" wp14:anchorId="7433761B" wp14:editId="7546D4EA">
                <wp:simplePos x="0" y="0"/>
                <wp:positionH relativeFrom="margin">
                  <wp:align>left</wp:align>
                </wp:positionH>
                <wp:positionV relativeFrom="paragraph">
                  <wp:posOffset>934720</wp:posOffset>
                </wp:positionV>
                <wp:extent cx="1098550" cy="295275"/>
                <wp:effectExtent l="0" t="0" r="25400" b="28575"/>
                <wp:wrapNone/>
                <wp:docPr id="24" name="Caixa de Texto 24"/>
                <wp:cNvGraphicFramePr/>
                <a:graphic xmlns:a="http://schemas.openxmlformats.org/drawingml/2006/main">
                  <a:graphicData uri="http://schemas.microsoft.com/office/word/2010/wordprocessingShape">
                    <wps:wsp>
                      <wps:cNvSpPr txBox="1"/>
                      <wps:spPr>
                        <a:xfrm>
                          <a:off x="0" y="0"/>
                          <a:ext cx="1098550" cy="295275"/>
                        </a:xfrm>
                        <a:prstGeom prst="rect">
                          <a:avLst/>
                        </a:prstGeom>
                        <a:noFill/>
                        <a:ln w="19050">
                          <a:solidFill>
                            <a:schemeClr val="accent1"/>
                          </a:solidFill>
                        </a:ln>
                      </wps:spPr>
                      <wps:txbx>
                        <w:txbxContent>
                          <w:p w:rsidR="00195FDE" w:rsidRPr="001D092A" w:rsidRDefault="00195FDE" w:rsidP="005F2DFA">
                            <w:pPr>
                              <w:ind w:firstLine="0"/>
                              <w:jc w:val="left"/>
                              <w:rPr>
                                <w:color w:val="0F6FC6" w:themeColor="accent1"/>
                              </w:rPr>
                            </w:pPr>
                            <w:r w:rsidRPr="001D092A">
                              <w:rPr>
                                <w:b/>
                                <w:color w:val="0F6FC6" w:themeColor="accent1"/>
                              </w:rPr>
                              <w:t>2. e 3</w:t>
                            </w:r>
                            <w:r w:rsidRPr="001D092A">
                              <w:rPr>
                                <w:color w:val="0F6FC6" w:themeColor="accen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3761B" id="Caixa de Texto 24" o:spid="_x0000_s1032" type="#_x0000_t202" style="position:absolute;left:0;text-align:left;margin-left:0;margin-top:73.6pt;width:86.5pt;height:23.25pt;z-index:251972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" filled="f" strokecolor="#0f6fc6 [3204]" strokeweight="1.5pt">
                <v:textbox>
                  <w:txbxContent>
                    <w:p w:rsidR="00195FDE" w:rsidRPr="001D092A" w:rsidRDefault="00195FDE" w:rsidP="005F2DFA">
                      <w:pPr>
                        <w:ind w:firstLine="0"/>
                        <w:jc w:val="left"/>
                        <w:rPr>
                          <w:color w:val="0F6FC6" w:themeColor="accent1"/>
                        </w:rPr>
                      </w:pPr>
                      <w:r w:rsidRPr="001D092A">
                        <w:rPr>
                          <w:b/>
                          <w:color w:val="0F6FC6" w:themeColor="accent1"/>
                        </w:rPr>
                        <w:t>2. e 3</w:t>
                      </w:r>
                      <w:r w:rsidRPr="001D092A">
                        <w:rPr>
                          <w:color w:val="0F6FC6" w:themeColor="accent1"/>
                        </w:rPr>
                        <w:t>.</w:t>
                      </w:r>
                    </w:p>
                  </w:txbxContent>
                </v:textbox>
                <w10:wrap anchorx="margin"/>
              </v:shape>
            </w:pict>
          </mc:Fallback>
        </mc:AlternateContent>
      </w:r>
      <w:r w:rsidR="006A5198">
        <w:rPr>
          <w:noProof/>
          <w:lang w:eastAsia="pt-BR"/>
        </w:rPr>
        <mc:AlternateContent>
          <mc:Choice Requires="wps">
            <w:drawing>
              <wp:anchor distT="0" distB="0" distL="114300" distR="114300" simplePos="0" relativeHeight="251967488" behindDoc="0" locked="0" layoutInCell="1" allowOverlap="1">
                <wp:simplePos x="0" y="0"/>
                <wp:positionH relativeFrom="column">
                  <wp:posOffset>720918</wp:posOffset>
                </wp:positionH>
                <wp:positionV relativeFrom="paragraph">
                  <wp:posOffset>640080</wp:posOffset>
                </wp:positionV>
                <wp:extent cx="2899410" cy="285750"/>
                <wp:effectExtent l="0" t="0" r="15240" b="19050"/>
                <wp:wrapNone/>
                <wp:docPr id="11" name="Caixa de Texto 11"/>
                <wp:cNvGraphicFramePr/>
                <a:graphic xmlns:a="http://schemas.openxmlformats.org/drawingml/2006/main">
                  <a:graphicData uri="http://schemas.microsoft.com/office/word/2010/wordprocessingShape">
                    <wps:wsp>
                      <wps:cNvSpPr txBox="1"/>
                      <wps:spPr>
                        <a:xfrm>
                          <a:off x="0" y="0"/>
                          <a:ext cx="2899410" cy="285750"/>
                        </a:xfrm>
                        <a:prstGeom prst="rect">
                          <a:avLst/>
                        </a:prstGeom>
                        <a:noFill/>
                        <a:ln w="19050">
                          <a:solidFill>
                            <a:schemeClr val="accent1"/>
                          </a:solidFill>
                        </a:ln>
                      </wps:spPr>
                      <wps:txbx>
                        <w:txbxContent>
                          <w:p w:rsidR="00195FDE" w:rsidRPr="001D092A" w:rsidRDefault="00195FDE" w:rsidP="005F2DFA">
                            <w:pPr>
                              <w:ind w:firstLine="0"/>
                              <w:jc w:val="left"/>
                              <w:rPr>
                                <w:b/>
                                <w:color w:val="0F6FC6" w:themeColor="accent1"/>
                              </w:rPr>
                            </w:pPr>
                            <w:r w:rsidRPr="001D092A">
                              <w:rPr>
                                <w:b/>
                                <w:color w:val="0F6FC6" w:themeColor="accent1"/>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11" o:spid="_x0000_s1033" type="#_x0000_t202" style="position:absolute;left:0;text-align:left;margin-left:56.75pt;margin-top:50.4pt;width:228.3pt;height:22.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" filled="f" strokecolor="#0f6fc6 [3204]" strokeweight="1.5pt">
                <v:textbox>
                  <w:txbxContent>
                    <w:p w:rsidR="00195FDE" w:rsidRPr="001D092A" w:rsidRDefault="00195FDE" w:rsidP="005F2DFA">
                      <w:pPr>
                        <w:ind w:firstLine="0"/>
                        <w:jc w:val="left"/>
                        <w:rPr>
                          <w:b/>
                          <w:color w:val="0F6FC6" w:themeColor="accent1"/>
                        </w:rPr>
                      </w:pPr>
                      <w:r w:rsidRPr="001D092A">
                        <w:rPr>
                          <w:b/>
                          <w:color w:val="0F6FC6" w:themeColor="accent1"/>
                        </w:rPr>
                        <w:t>1.</w:t>
                      </w:r>
                    </w:p>
                  </w:txbxContent>
                </v:textbox>
              </v:shape>
            </w:pict>
          </mc:Fallback>
        </mc:AlternateContent>
      </w:r>
      <w:r w:rsidR="006A5198" w:rsidRPr="006A5198">
        <w:rPr>
          <w:noProof/>
          <w:lang w:eastAsia="pt-BR"/>
        </w:rPr>
        <w:t xml:space="preserve"> </w:t>
      </w:r>
      <w:r w:rsidR="006A5198">
        <w:rPr>
          <w:noProof/>
          <w:lang w:eastAsia="pt-BR"/>
        </w:rPr>
        <w:drawing>
          <wp:inline distT="0" distB="0" distL="0" distR="0" wp14:anchorId="6029A29D" wp14:editId="11D3F0A7">
            <wp:extent cx="6120130" cy="2258170"/>
            <wp:effectExtent l="0" t="0" r="0" b="889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30093"/>
                    <a:stretch/>
                  </pic:blipFill>
                  <pic:spPr bwMode="auto">
                    <a:xfrm>
                      <a:off x="0" y="0"/>
                      <a:ext cx="6120130" cy="2258170"/>
                    </a:xfrm>
                    <a:prstGeom prst="rect">
                      <a:avLst/>
                    </a:prstGeom>
                    <a:ln>
                      <a:noFill/>
                    </a:ln>
                    <a:extLst>
                      <a:ext uri="{53640926-AAD7-44D8-BBD7-CCE9431645EC}">
                        <a14:shadowObscured xmlns:a14="http://schemas.microsoft.com/office/drawing/2010/main"/>
                      </a:ext>
                    </a:extLst>
                  </pic:spPr>
                </pic:pic>
              </a:graphicData>
            </a:graphic>
          </wp:inline>
        </w:drawing>
      </w:r>
    </w:p>
    <w:p w:rsidR="005B6E9D" w:rsidRDefault="005B6E9D" w:rsidP="00E938D7">
      <w:pPr>
        <w:ind w:right="-1" w:firstLine="0"/>
      </w:pPr>
    </w:p>
    <w:p w:rsidR="005B6E9D" w:rsidRDefault="005B6E9D" w:rsidP="00E938D7">
      <w:pPr>
        <w:ind w:right="-1" w:firstLine="0"/>
        <w:sectPr w:rsidR="005B6E9D" w:rsidSect="009F5506">
          <w:headerReference w:type="default" r:id="rId26"/>
          <w:footerReference w:type="default" r:id="rId27"/>
          <w:headerReference w:type="first" r:id="rId28"/>
          <w:footerReference w:type="first" r:id="rId29"/>
          <w:type w:val="continuous"/>
          <w:pgSz w:w="11906" w:h="16838"/>
          <w:pgMar w:top="1134" w:right="1416" w:bottom="1134" w:left="1134" w:header="708" w:footer="708" w:gutter="0"/>
          <w:cols w:space="708"/>
          <w:docGrid w:linePitch="360"/>
        </w:sectPr>
      </w:pPr>
    </w:p>
    <w:p w:rsidR="00252ACE" w:rsidRPr="00FB2E5C" w:rsidRDefault="00252ACE" w:rsidP="00FB2E5C">
      <w:pPr>
        <w:pBdr>
          <w:top w:val="single" w:sz="4" w:space="1" w:color="auto"/>
        </w:pBdr>
        <w:spacing w:after="0"/>
        <w:ind w:right="-1" w:firstLine="0"/>
        <w:rPr>
          <w:sz w:val="20"/>
        </w:rPr>
      </w:pPr>
      <w:r w:rsidRPr="001D092A">
        <w:rPr>
          <w:b/>
          <w:color w:val="0F6FC6" w:themeColor="accent1"/>
          <w:sz w:val="20"/>
        </w:rPr>
        <w:t>1. Classificação Institucional</w:t>
      </w:r>
      <w:r w:rsidRPr="001D092A">
        <w:rPr>
          <w:color w:val="0F6FC6" w:themeColor="accent1"/>
          <w:sz w:val="20"/>
        </w:rPr>
        <w:t xml:space="preserve">: </w:t>
      </w:r>
      <w:r w:rsidRPr="00FB2E5C">
        <w:rPr>
          <w:sz w:val="20"/>
        </w:rPr>
        <w:t>é composta pelo Órgão e Unidade Orçamentária</w:t>
      </w:r>
      <w:r w:rsidR="00FB2E5C">
        <w:rPr>
          <w:sz w:val="20"/>
        </w:rPr>
        <w:t>.</w:t>
      </w:r>
    </w:p>
    <w:p w:rsidR="009D003E" w:rsidRPr="00FB2E5C" w:rsidRDefault="00252ACE" w:rsidP="00FB2E5C">
      <w:pPr>
        <w:spacing w:after="0"/>
        <w:ind w:right="-1" w:firstLine="0"/>
        <w:rPr>
          <w:sz w:val="20"/>
        </w:rPr>
      </w:pPr>
      <w:r w:rsidRPr="00FB2E5C">
        <w:rPr>
          <w:i/>
          <w:sz w:val="20"/>
        </w:rPr>
        <w:t>Órgão</w:t>
      </w:r>
      <w:r w:rsidR="00FB2E5C">
        <w:rPr>
          <w:i/>
          <w:sz w:val="20"/>
        </w:rPr>
        <w:t>:</w:t>
      </w:r>
      <w:r w:rsidRPr="00FB2E5C">
        <w:rPr>
          <w:sz w:val="20"/>
        </w:rPr>
        <w:t xml:space="preserve"> </w:t>
      </w:r>
      <w:r w:rsidR="006A5198">
        <w:rPr>
          <w:sz w:val="20"/>
        </w:rPr>
        <w:t>27000</w:t>
      </w:r>
      <w:r w:rsidRPr="00FB2E5C">
        <w:rPr>
          <w:sz w:val="20"/>
        </w:rPr>
        <w:t xml:space="preserve"> – </w:t>
      </w:r>
      <w:r w:rsidR="006A5198">
        <w:rPr>
          <w:sz w:val="20"/>
        </w:rPr>
        <w:t>Secretaria d</w:t>
      </w:r>
      <w:r w:rsidR="00A24813">
        <w:rPr>
          <w:sz w:val="20"/>
        </w:rPr>
        <w:t>e</w:t>
      </w:r>
      <w:r w:rsidR="006A5198">
        <w:rPr>
          <w:sz w:val="20"/>
        </w:rPr>
        <w:t xml:space="preserve"> Estado d</w:t>
      </w:r>
      <w:r w:rsidR="00A24813">
        <w:rPr>
          <w:sz w:val="20"/>
        </w:rPr>
        <w:t>a</w:t>
      </w:r>
      <w:r w:rsidR="006A5198">
        <w:rPr>
          <w:sz w:val="20"/>
        </w:rPr>
        <w:t xml:space="preserve"> </w:t>
      </w:r>
      <w:r w:rsidR="00A24813">
        <w:rPr>
          <w:sz w:val="20"/>
        </w:rPr>
        <w:t>Indústria do Comércio e de Serviços - SICOS</w:t>
      </w:r>
    </w:p>
    <w:p w:rsidR="00252ACE" w:rsidRDefault="00252ACE" w:rsidP="00FB2E5C">
      <w:pPr>
        <w:spacing w:after="0"/>
        <w:ind w:right="-1" w:firstLine="0"/>
        <w:rPr>
          <w:sz w:val="20"/>
        </w:rPr>
      </w:pPr>
      <w:r w:rsidRPr="00FB2E5C">
        <w:rPr>
          <w:i/>
          <w:sz w:val="20"/>
        </w:rPr>
        <w:t>UO</w:t>
      </w:r>
      <w:r w:rsidR="006A5198">
        <w:rPr>
          <w:sz w:val="20"/>
        </w:rPr>
        <w:t>: 27092</w:t>
      </w:r>
      <w:r w:rsidRPr="00FB2E5C">
        <w:rPr>
          <w:sz w:val="20"/>
        </w:rPr>
        <w:t xml:space="preserve"> </w:t>
      </w:r>
      <w:r w:rsidR="006A5198">
        <w:rPr>
          <w:sz w:val="20"/>
        </w:rPr>
        <w:t>–</w:t>
      </w:r>
      <w:r w:rsidRPr="00FB2E5C">
        <w:rPr>
          <w:sz w:val="20"/>
        </w:rPr>
        <w:t xml:space="preserve"> </w:t>
      </w:r>
      <w:r w:rsidR="006A5198">
        <w:rPr>
          <w:sz w:val="20"/>
        </w:rPr>
        <w:t>Fundo de Recursos Hídricos</w:t>
      </w:r>
    </w:p>
    <w:p w:rsidR="00FB2E5C" w:rsidRPr="00FB2E5C" w:rsidRDefault="00FB2E5C" w:rsidP="00FB2E5C">
      <w:pPr>
        <w:spacing w:after="0"/>
        <w:ind w:right="-1" w:firstLine="0"/>
        <w:rPr>
          <w:sz w:val="20"/>
        </w:rPr>
      </w:pPr>
    </w:p>
    <w:p w:rsidR="00252ACE" w:rsidRPr="00FB2E5C" w:rsidRDefault="005B6E9D" w:rsidP="00FB2E5C">
      <w:pPr>
        <w:pBdr>
          <w:top w:val="single" w:sz="4" w:space="1" w:color="auto"/>
        </w:pBdr>
        <w:spacing w:after="0"/>
        <w:ind w:right="-1" w:firstLine="0"/>
        <w:rPr>
          <w:sz w:val="20"/>
        </w:rPr>
      </w:pPr>
      <w:r w:rsidRPr="001D092A">
        <w:rPr>
          <w:b/>
          <w:color w:val="0F6FC6" w:themeColor="accent1"/>
          <w:sz w:val="20"/>
        </w:rPr>
        <w:t xml:space="preserve">2. </w:t>
      </w:r>
      <w:r w:rsidR="00252ACE" w:rsidRPr="001D092A">
        <w:rPr>
          <w:b/>
          <w:color w:val="0F6FC6" w:themeColor="accent1"/>
          <w:sz w:val="20"/>
        </w:rPr>
        <w:t>Classificação Funcional</w:t>
      </w:r>
      <w:r w:rsidR="00252ACE" w:rsidRPr="00FB2E5C">
        <w:rPr>
          <w:sz w:val="20"/>
        </w:rPr>
        <w:t xml:space="preserve">: é composta pela Função e </w:t>
      </w:r>
      <w:proofErr w:type="spellStart"/>
      <w:r w:rsidR="00252ACE" w:rsidRPr="00FB2E5C">
        <w:rPr>
          <w:sz w:val="20"/>
        </w:rPr>
        <w:t>Subfunção</w:t>
      </w:r>
      <w:proofErr w:type="spellEnd"/>
      <w:r w:rsidR="00FB2E5C">
        <w:rPr>
          <w:sz w:val="20"/>
        </w:rPr>
        <w:t>.</w:t>
      </w:r>
    </w:p>
    <w:p w:rsidR="00252ACE" w:rsidRPr="00FB2E5C" w:rsidRDefault="00252ACE" w:rsidP="00FB2E5C">
      <w:pPr>
        <w:spacing w:after="0"/>
        <w:ind w:right="-1" w:firstLine="0"/>
        <w:rPr>
          <w:sz w:val="20"/>
        </w:rPr>
      </w:pPr>
      <w:r w:rsidRPr="00FB2E5C">
        <w:rPr>
          <w:sz w:val="20"/>
        </w:rPr>
        <w:t>Função: 1</w:t>
      </w:r>
      <w:r w:rsidR="001D092A">
        <w:rPr>
          <w:sz w:val="20"/>
        </w:rPr>
        <w:t>8</w:t>
      </w:r>
      <w:r w:rsidRPr="00FB2E5C">
        <w:rPr>
          <w:sz w:val="20"/>
        </w:rPr>
        <w:t xml:space="preserve"> – </w:t>
      </w:r>
      <w:r w:rsidR="001D092A" w:rsidRPr="001D092A">
        <w:rPr>
          <w:sz w:val="20"/>
        </w:rPr>
        <w:t>Gestão Ambiental</w:t>
      </w:r>
    </w:p>
    <w:p w:rsidR="00FB2E5C" w:rsidRPr="00FB2E5C" w:rsidRDefault="00252ACE" w:rsidP="00FB2E5C">
      <w:pPr>
        <w:spacing w:after="0"/>
        <w:ind w:right="-1" w:firstLine="0"/>
        <w:rPr>
          <w:sz w:val="20"/>
        </w:rPr>
      </w:pPr>
      <w:proofErr w:type="spellStart"/>
      <w:r w:rsidRPr="00FB2E5C">
        <w:rPr>
          <w:sz w:val="20"/>
        </w:rPr>
        <w:t>Subfunção</w:t>
      </w:r>
      <w:proofErr w:type="spellEnd"/>
      <w:r w:rsidRPr="00FB2E5C">
        <w:rPr>
          <w:sz w:val="20"/>
        </w:rPr>
        <w:t xml:space="preserve">: </w:t>
      </w:r>
      <w:r w:rsidR="001D092A" w:rsidRPr="001D092A">
        <w:rPr>
          <w:sz w:val="20"/>
        </w:rPr>
        <w:t>541 – Preservação e Conservação Ambiental</w:t>
      </w:r>
      <w:r w:rsidR="001D092A" w:rsidRPr="001D092A">
        <w:rPr>
          <w:sz w:val="20"/>
        </w:rPr>
        <w:cr/>
      </w:r>
    </w:p>
    <w:p w:rsidR="00252ACE" w:rsidRPr="00FB2E5C" w:rsidRDefault="005B6E9D" w:rsidP="00FB2E5C">
      <w:pPr>
        <w:pBdr>
          <w:top w:val="single" w:sz="4" w:space="1" w:color="auto"/>
        </w:pBdr>
        <w:spacing w:after="0"/>
        <w:ind w:right="-1" w:firstLine="0"/>
        <w:rPr>
          <w:sz w:val="20"/>
        </w:rPr>
      </w:pPr>
      <w:r w:rsidRPr="001D092A">
        <w:rPr>
          <w:b/>
          <w:color w:val="0F6FC6" w:themeColor="accent1"/>
          <w:sz w:val="20"/>
        </w:rPr>
        <w:t xml:space="preserve">3. </w:t>
      </w:r>
      <w:r w:rsidR="00252ACE" w:rsidRPr="001D092A">
        <w:rPr>
          <w:b/>
          <w:color w:val="0F6FC6" w:themeColor="accent1"/>
          <w:sz w:val="20"/>
        </w:rPr>
        <w:t>Classificação Programática</w:t>
      </w:r>
      <w:r w:rsidR="00252ACE" w:rsidRPr="00FB2E5C">
        <w:rPr>
          <w:sz w:val="20"/>
        </w:rPr>
        <w:t>: é composta pelo Programa, Ação e Subação</w:t>
      </w:r>
      <w:r w:rsidR="00FB2E5C">
        <w:rPr>
          <w:sz w:val="20"/>
        </w:rPr>
        <w:t>.</w:t>
      </w:r>
    </w:p>
    <w:p w:rsidR="00252ACE" w:rsidRPr="00FB2E5C" w:rsidRDefault="00252ACE" w:rsidP="00FB2E5C">
      <w:pPr>
        <w:spacing w:after="0"/>
        <w:ind w:right="-1" w:firstLine="0"/>
        <w:rPr>
          <w:sz w:val="20"/>
        </w:rPr>
      </w:pPr>
      <w:r w:rsidRPr="001D092A">
        <w:rPr>
          <w:b/>
          <w:i/>
          <w:color w:val="0F6FC6" w:themeColor="accent1"/>
          <w:sz w:val="20"/>
        </w:rPr>
        <w:t>Programa</w:t>
      </w:r>
      <w:r w:rsidRPr="001D092A">
        <w:rPr>
          <w:b/>
          <w:color w:val="0F6FC6" w:themeColor="accent1"/>
          <w:sz w:val="20"/>
        </w:rPr>
        <w:t>:</w:t>
      </w:r>
      <w:r w:rsidRPr="001D092A">
        <w:rPr>
          <w:color w:val="0F6FC6" w:themeColor="accent1"/>
          <w:sz w:val="20"/>
        </w:rPr>
        <w:t xml:space="preserve"> </w:t>
      </w:r>
      <w:r w:rsidR="001D092A">
        <w:rPr>
          <w:sz w:val="20"/>
        </w:rPr>
        <w:t>348</w:t>
      </w:r>
      <w:r w:rsidRPr="00FB2E5C">
        <w:rPr>
          <w:sz w:val="20"/>
        </w:rPr>
        <w:t xml:space="preserve"> – </w:t>
      </w:r>
    </w:p>
    <w:p w:rsidR="00252ACE" w:rsidRPr="00FB2E5C" w:rsidRDefault="00252ACE" w:rsidP="00FB2E5C">
      <w:pPr>
        <w:spacing w:after="0"/>
        <w:ind w:right="-1" w:firstLine="0"/>
        <w:rPr>
          <w:sz w:val="20"/>
        </w:rPr>
      </w:pPr>
      <w:r w:rsidRPr="001D092A">
        <w:rPr>
          <w:b/>
          <w:i/>
          <w:color w:val="0F6FC6" w:themeColor="accent1"/>
          <w:sz w:val="20"/>
        </w:rPr>
        <w:t>Ação</w:t>
      </w:r>
      <w:r w:rsidRPr="001D092A">
        <w:rPr>
          <w:b/>
          <w:color w:val="0F6FC6" w:themeColor="accent1"/>
          <w:sz w:val="20"/>
        </w:rPr>
        <w:t>:</w:t>
      </w:r>
      <w:r w:rsidRPr="001D092A">
        <w:rPr>
          <w:color w:val="0F6FC6" w:themeColor="accent1"/>
          <w:sz w:val="20"/>
        </w:rPr>
        <w:t xml:space="preserve"> </w:t>
      </w:r>
      <w:r w:rsidR="001D092A">
        <w:rPr>
          <w:sz w:val="20"/>
        </w:rPr>
        <w:t>1190</w:t>
      </w:r>
      <w:r w:rsidRPr="00FB2E5C">
        <w:rPr>
          <w:sz w:val="20"/>
        </w:rPr>
        <w:t xml:space="preserve"> – </w:t>
      </w:r>
    </w:p>
    <w:p w:rsidR="00252ACE" w:rsidRPr="00FB2E5C" w:rsidRDefault="00252ACE" w:rsidP="00FB2E5C">
      <w:pPr>
        <w:spacing w:after="0"/>
        <w:ind w:right="-1" w:firstLine="0"/>
        <w:rPr>
          <w:sz w:val="20"/>
        </w:rPr>
      </w:pPr>
      <w:r w:rsidRPr="00FB2E5C">
        <w:rPr>
          <w:i/>
          <w:sz w:val="20"/>
        </w:rPr>
        <w:t>Subação</w:t>
      </w:r>
      <w:r w:rsidRPr="00FB2E5C">
        <w:rPr>
          <w:sz w:val="20"/>
        </w:rPr>
        <w:t xml:space="preserve">: </w:t>
      </w:r>
      <w:r w:rsidR="001D092A">
        <w:rPr>
          <w:sz w:val="20"/>
        </w:rPr>
        <w:t>15212</w:t>
      </w:r>
      <w:r w:rsidRPr="00FB2E5C">
        <w:rPr>
          <w:sz w:val="20"/>
        </w:rPr>
        <w:t xml:space="preserve"> – </w:t>
      </w:r>
      <w:r w:rsidR="001D092A">
        <w:rPr>
          <w:sz w:val="20"/>
        </w:rPr>
        <w:t>Apoio a projetos de conservação das nascentes</w:t>
      </w:r>
    </w:p>
    <w:p w:rsidR="00FB2E5C" w:rsidRDefault="00252ACE" w:rsidP="00FB2E5C">
      <w:pPr>
        <w:spacing w:after="0"/>
        <w:ind w:right="-1" w:firstLine="0"/>
        <w:rPr>
          <w:sz w:val="20"/>
        </w:rPr>
      </w:pPr>
      <w:r w:rsidRPr="001D092A">
        <w:rPr>
          <w:b/>
          <w:i/>
          <w:color w:val="0F6FC6" w:themeColor="accent1"/>
          <w:sz w:val="20"/>
        </w:rPr>
        <w:t>A</w:t>
      </w:r>
      <w:r w:rsidRPr="001D092A">
        <w:rPr>
          <w:b/>
          <w:color w:val="0F6FC6" w:themeColor="accent1"/>
          <w:sz w:val="20"/>
        </w:rPr>
        <w:t>:</w:t>
      </w:r>
      <w:r w:rsidRPr="001D092A">
        <w:rPr>
          <w:color w:val="0F6FC6" w:themeColor="accent1"/>
          <w:sz w:val="20"/>
        </w:rPr>
        <w:t xml:space="preserve"> </w:t>
      </w:r>
      <w:r w:rsidR="00FB2E5C">
        <w:rPr>
          <w:sz w:val="20"/>
        </w:rPr>
        <w:t xml:space="preserve">Tipo </w:t>
      </w:r>
      <w:r w:rsidRPr="00FB2E5C">
        <w:rPr>
          <w:sz w:val="20"/>
        </w:rPr>
        <w:t>Atividade</w:t>
      </w:r>
    </w:p>
    <w:p w:rsidR="005B6E9D" w:rsidRPr="00FB2E5C" w:rsidRDefault="005B6E9D" w:rsidP="00FB2E5C">
      <w:pPr>
        <w:pBdr>
          <w:top w:val="single" w:sz="4" w:space="1" w:color="auto"/>
        </w:pBdr>
        <w:spacing w:after="0"/>
        <w:ind w:right="-1" w:firstLine="0"/>
        <w:rPr>
          <w:sz w:val="20"/>
        </w:rPr>
      </w:pPr>
      <w:r w:rsidRPr="001D092A">
        <w:rPr>
          <w:b/>
          <w:color w:val="0F6FC6" w:themeColor="accent1"/>
          <w:sz w:val="20"/>
        </w:rPr>
        <w:t>4. Natureza da Despesa</w:t>
      </w:r>
      <w:r w:rsidRPr="00FB2E5C">
        <w:rPr>
          <w:sz w:val="20"/>
        </w:rPr>
        <w:t>: composto pela categoria econômica, grupo de natureza de despesa</w:t>
      </w:r>
      <w:r w:rsidR="00FB2E5C">
        <w:rPr>
          <w:sz w:val="20"/>
        </w:rPr>
        <w:t xml:space="preserve"> (GND)</w:t>
      </w:r>
      <w:r w:rsidRPr="00FB2E5C">
        <w:rPr>
          <w:sz w:val="20"/>
        </w:rPr>
        <w:t>, modalidade de aplicação e elemento de despesa.</w:t>
      </w:r>
    </w:p>
    <w:p w:rsidR="00FB2E5C" w:rsidRDefault="00FB2E5C" w:rsidP="00FB2E5C">
      <w:pPr>
        <w:pBdr>
          <w:top w:val="single" w:sz="4" w:space="1" w:color="auto"/>
        </w:pBdr>
        <w:spacing w:after="0"/>
        <w:ind w:right="-1" w:firstLine="0"/>
        <w:rPr>
          <w:sz w:val="20"/>
        </w:rPr>
      </w:pPr>
    </w:p>
    <w:p w:rsidR="00FB2E5C" w:rsidRDefault="001D092A" w:rsidP="00FB2E5C">
      <w:pPr>
        <w:pBdr>
          <w:top w:val="single" w:sz="4" w:space="1" w:color="auto"/>
        </w:pBdr>
        <w:spacing w:after="0"/>
        <w:ind w:right="-1" w:firstLine="0"/>
        <w:rPr>
          <w:sz w:val="20"/>
        </w:rPr>
      </w:pPr>
      <w:r>
        <w:rPr>
          <w:sz w:val="20"/>
        </w:rPr>
        <w:t>33.90.30</w:t>
      </w:r>
      <w:r w:rsidR="00ED5197">
        <w:rPr>
          <w:sz w:val="20"/>
        </w:rPr>
        <w:t xml:space="preserve"> - </w:t>
      </w:r>
      <w:r w:rsidR="00ED5197" w:rsidRPr="00ED5197">
        <w:rPr>
          <w:sz w:val="20"/>
        </w:rPr>
        <w:t>Equipamentos e Material Permanente</w:t>
      </w:r>
    </w:p>
    <w:p w:rsidR="00016961" w:rsidRDefault="00016961" w:rsidP="00FB2E5C">
      <w:pPr>
        <w:pBdr>
          <w:top w:val="single" w:sz="4" w:space="1" w:color="auto"/>
        </w:pBdr>
        <w:spacing w:after="0"/>
        <w:ind w:right="-1" w:firstLine="0"/>
        <w:rPr>
          <w:sz w:val="20"/>
        </w:rPr>
      </w:pPr>
    </w:p>
    <w:p w:rsidR="00016961" w:rsidRDefault="00016961" w:rsidP="00FB2E5C">
      <w:pPr>
        <w:pBdr>
          <w:top w:val="single" w:sz="4" w:space="1" w:color="auto"/>
        </w:pBdr>
        <w:spacing w:after="0"/>
        <w:ind w:right="-1" w:firstLine="0"/>
        <w:rPr>
          <w:sz w:val="20"/>
        </w:rPr>
      </w:pPr>
    </w:p>
    <w:p w:rsidR="005B6E9D" w:rsidRPr="00FB2E5C" w:rsidRDefault="00FB2E5C" w:rsidP="00FB2E5C">
      <w:pPr>
        <w:pBdr>
          <w:top w:val="single" w:sz="4" w:space="1" w:color="auto"/>
        </w:pBdr>
        <w:spacing w:after="0"/>
        <w:ind w:right="-1" w:firstLine="0"/>
        <w:rPr>
          <w:sz w:val="20"/>
        </w:rPr>
      </w:pPr>
      <w:r>
        <w:rPr>
          <w:sz w:val="20"/>
        </w:rPr>
        <w:t xml:space="preserve"> </w:t>
      </w:r>
      <w:r w:rsidR="001D092A">
        <w:rPr>
          <w:sz w:val="20"/>
        </w:rPr>
        <w:t>3</w:t>
      </w:r>
      <w:r w:rsidR="005B6E9D" w:rsidRPr="00FB2E5C">
        <w:rPr>
          <w:sz w:val="20"/>
        </w:rPr>
        <w:t>.</w:t>
      </w:r>
      <w:r>
        <w:rPr>
          <w:sz w:val="20"/>
        </w:rPr>
        <w:t xml:space="preserve"> </w:t>
      </w:r>
      <w:r w:rsidR="005B6E9D" w:rsidRPr="00FB2E5C">
        <w:rPr>
          <w:sz w:val="20"/>
        </w:rPr>
        <w:t xml:space="preserve">Despesa de </w:t>
      </w:r>
      <w:r w:rsidR="001D092A">
        <w:rPr>
          <w:sz w:val="20"/>
        </w:rPr>
        <w:t>Corrente</w:t>
      </w:r>
    </w:p>
    <w:p w:rsidR="005B6E9D" w:rsidRPr="00FB2E5C" w:rsidRDefault="00FB2E5C" w:rsidP="00FB2E5C">
      <w:pPr>
        <w:pBdr>
          <w:top w:val="single" w:sz="4" w:space="1" w:color="auto"/>
        </w:pBdr>
        <w:spacing w:after="0"/>
        <w:ind w:right="-1" w:firstLine="0"/>
        <w:rPr>
          <w:sz w:val="20"/>
        </w:rPr>
      </w:pPr>
      <w:r>
        <w:rPr>
          <w:sz w:val="20"/>
        </w:rPr>
        <w:t xml:space="preserve"> </w:t>
      </w:r>
      <w:r w:rsidR="001D092A">
        <w:rPr>
          <w:sz w:val="20"/>
        </w:rPr>
        <w:t>3</w:t>
      </w:r>
      <w:r w:rsidR="005B6E9D" w:rsidRPr="00FB2E5C">
        <w:rPr>
          <w:sz w:val="20"/>
        </w:rPr>
        <w:t>.</w:t>
      </w:r>
      <w:r>
        <w:rPr>
          <w:sz w:val="20"/>
        </w:rPr>
        <w:t xml:space="preserve"> </w:t>
      </w:r>
      <w:r w:rsidR="001D092A">
        <w:rPr>
          <w:sz w:val="20"/>
        </w:rPr>
        <w:t>Outras Despesas Correntes</w:t>
      </w:r>
    </w:p>
    <w:p w:rsidR="005B6E9D" w:rsidRPr="00FB2E5C" w:rsidRDefault="005B6E9D" w:rsidP="00FB2E5C">
      <w:pPr>
        <w:pBdr>
          <w:top w:val="single" w:sz="4" w:space="1" w:color="auto"/>
        </w:pBdr>
        <w:spacing w:after="0"/>
        <w:ind w:right="-1" w:firstLine="0"/>
        <w:rPr>
          <w:sz w:val="20"/>
        </w:rPr>
      </w:pPr>
      <w:r w:rsidRPr="00FB2E5C">
        <w:rPr>
          <w:sz w:val="20"/>
        </w:rPr>
        <w:t>90.</w:t>
      </w:r>
      <w:r w:rsidR="00FB2E5C">
        <w:rPr>
          <w:sz w:val="20"/>
        </w:rPr>
        <w:t xml:space="preserve"> </w:t>
      </w:r>
      <w:r w:rsidRPr="00FB2E5C">
        <w:rPr>
          <w:sz w:val="20"/>
        </w:rPr>
        <w:t>Aplicação direta</w:t>
      </w:r>
    </w:p>
    <w:p w:rsidR="005B6E9D" w:rsidRPr="00FB2E5C" w:rsidRDefault="001D092A" w:rsidP="00FB2E5C">
      <w:pPr>
        <w:pBdr>
          <w:top w:val="single" w:sz="4" w:space="1" w:color="auto"/>
        </w:pBdr>
        <w:spacing w:after="0"/>
        <w:ind w:right="-1" w:firstLine="0"/>
        <w:rPr>
          <w:sz w:val="20"/>
        </w:rPr>
      </w:pPr>
      <w:r>
        <w:rPr>
          <w:sz w:val="20"/>
        </w:rPr>
        <w:t>30</w:t>
      </w:r>
      <w:r w:rsidR="005B6E9D" w:rsidRPr="00FB2E5C">
        <w:rPr>
          <w:sz w:val="20"/>
        </w:rPr>
        <w:t xml:space="preserve">. </w:t>
      </w:r>
      <w:r w:rsidR="00ED5197" w:rsidRPr="00ED5197">
        <w:rPr>
          <w:sz w:val="20"/>
        </w:rPr>
        <w:t>Equipamentos e Material Permanente</w:t>
      </w:r>
    </w:p>
    <w:p w:rsidR="00FB2E5C" w:rsidRDefault="00FB2E5C" w:rsidP="00FB2E5C">
      <w:pPr>
        <w:ind w:right="-1" w:firstLine="0"/>
        <w:rPr>
          <w:b/>
          <w:sz w:val="20"/>
        </w:rPr>
      </w:pPr>
    </w:p>
    <w:p w:rsidR="00FB2E5C" w:rsidRDefault="00FB2E5C" w:rsidP="00FB2E5C">
      <w:pPr>
        <w:pBdr>
          <w:top w:val="single" w:sz="4" w:space="1" w:color="auto"/>
        </w:pBdr>
        <w:spacing w:after="0"/>
        <w:ind w:right="-1" w:firstLine="0"/>
        <w:rPr>
          <w:sz w:val="20"/>
        </w:rPr>
      </w:pPr>
      <w:r w:rsidRPr="001D092A">
        <w:rPr>
          <w:b/>
          <w:color w:val="0F6FC6" w:themeColor="accent1"/>
          <w:sz w:val="20"/>
        </w:rPr>
        <w:t>5. Fonte de Recurso</w:t>
      </w:r>
      <w:r w:rsidRPr="00FB2E5C">
        <w:rPr>
          <w:sz w:val="20"/>
        </w:rPr>
        <w:t>: composto:</w:t>
      </w:r>
      <w:r w:rsidR="006A5198">
        <w:rPr>
          <w:sz w:val="20"/>
        </w:rPr>
        <w:t xml:space="preserve"> do</w:t>
      </w:r>
      <w:r w:rsidRPr="00FB2E5C">
        <w:rPr>
          <w:sz w:val="20"/>
        </w:rPr>
        <w:t xml:space="preserve"> </w:t>
      </w:r>
      <w:r w:rsidR="006A5198">
        <w:rPr>
          <w:sz w:val="20"/>
        </w:rPr>
        <w:t xml:space="preserve">1º </w:t>
      </w:r>
      <w:proofErr w:type="gramStart"/>
      <w:r w:rsidR="006A5198">
        <w:rPr>
          <w:sz w:val="20"/>
        </w:rPr>
        <w:t>ao 4º dígitos</w:t>
      </w:r>
      <w:proofErr w:type="gramEnd"/>
      <w:r w:rsidR="006A5198">
        <w:rPr>
          <w:sz w:val="20"/>
        </w:rPr>
        <w:t>, fonte padrão STN, do 5ª ao 7º dígitos especificação do estado.</w:t>
      </w:r>
    </w:p>
    <w:p w:rsidR="006A5198" w:rsidRDefault="006A5198" w:rsidP="00FB2E5C">
      <w:pPr>
        <w:pBdr>
          <w:top w:val="single" w:sz="4" w:space="1" w:color="auto"/>
        </w:pBdr>
        <w:spacing w:after="0"/>
        <w:ind w:right="-1" w:firstLine="0"/>
        <w:rPr>
          <w:sz w:val="20"/>
        </w:rPr>
      </w:pPr>
    </w:p>
    <w:p w:rsidR="00FB2E5C" w:rsidRDefault="00FB2E5C" w:rsidP="00FB2E5C">
      <w:pPr>
        <w:pBdr>
          <w:top w:val="single" w:sz="4" w:space="1" w:color="auto"/>
        </w:pBdr>
        <w:spacing w:after="0"/>
        <w:ind w:right="-1" w:firstLine="0"/>
        <w:rPr>
          <w:b/>
          <w:sz w:val="20"/>
        </w:rPr>
      </w:pPr>
      <w:r w:rsidRPr="00FB2E5C">
        <w:rPr>
          <w:b/>
          <w:sz w:val="20"/>
        </w:rPr>
        <w:t xml:space="preserve">FR </w:t>
      </w:r>
      <w:r w:rsidR="006A5198">
        <w:rPr>
          <w:b/>
          <w:sz w:val="20"/>
        </w:rPr>
        <w:t>1.709.122.000</w:t>
      </w:r>
    </w:p>
    <w:p w:rsidR="001D092A" w:rsidRPr="00FB2E5C" w:rsidRDefault="001D092A" w:rsidP="00FB2E5C">
      <w:pPr>
        <w:pBdr>
          <w:top w:val="single" w:sz="4" w:space="1" w:color="auto"/>
        </w:pBdr>
        <w:spacing w:after="0"/>
        <w:ind w:right="-1" w:firstLine="0"/>
        <w:rPr>
          <w:b/>
          <w:sz w:val="20"/>
        </w:rPr>
      </w:pPr>
    </w:p>
    <w:p w:rsidR="00FB2E5C" w:rsidRPr="00FB2E5C" w:rsidRDefault="006A5198" w:rsidP="00FB2E5C">
      <w:pPr>
        <w:pBdr>
          <w:top w:val="single" w:sz="4" w:space="1" w:color="auto"/>
        </w:pBdr>
        <w:spacing w:after="0"/>
        <w:ind w:right="-1" w:firstLine="0"/>
        <w:rPr>
          <w:sz w:val="20"/>
        </w:rPr>
      </w:pPr>
      <w:r>
        <w:rPr>
          <w:sz w:val="20"/>
        </w:rPr>
        <w:t>1</w:t>
      </w:r>
      <w:r w:rsidR="00FB2E5C" w:rsidRPr="00FB2E5C">
        <w:rPr>
          <w:sz w:val="20"/>
        </w:rPr>
        <w:t xml:space="preserve">. </w:t>
      </w:r>
      <w:r>
        <w:rPr>
          <w:sz w:val="20"/>
        </w:rPr>
        <w:t>Exercício corrente</w:t>
      </w:r>
    </w:p>
    <w:p w:rsidR="00FB2E5C" w:rsidRPr="00FB2E5C" w:rsidRDefault="006A5198" w:rsidP="00FB2E5C">
      <w:pPr>
        <w:pBdr>
          <w:top w:val="single" w:sz="4" w:space="1" w:color="auto"/>
        </w:pBdr>
        <w:spacing w:after="0"/>
        <w:ind w:right="-1" w:firstLine="0"/>
        <w:rPr>
          <w:sz w:val="20"/>
        </w:rPr>
      </w:pPr>
      <w:r>
        <w:rPr>
          <w:sz w:val="20"/>
        </w:rPr>
        <w:t>709</w:t>
      </w:r>
      <w:r w:rsidR="00FB2E5C" w:rsidRPr="00FB2E5C">
        <w:rPr>
          <w:sz w:val="20"/>
        </w:rPr>
        <w:t xml:space="preserve">. </w:t>
      </w:r>
      <w:r w:rsidR="001D092A" w:rsidRPr="001D092A">
        <w:rPr>
          <w:sz w:val="20"/>
        </w:rPr>
        <w:t>Transferência da União referente à Compensação Financeira de Recursos Hídricos - Recurso Tesouro - (EC)</w:t>
      </w:r>
    </w:p>
    <w:p w:rsidR="001D092A" w:rsidRDefault="006A5198" w:rsidP="00FB2E5C">
      <w:pPr>
        <w:pBdr>
          <w:top w:val="single" w:sz="4" w:space="1" w:color="auto"/>
        </w:pBdr>
        <w:spacing w:after="0"/>
        <w:ind w:right="-1" w:firstLine="0"/>
        <w:rPr>
          <w:sz w:val="20"/>
        </w:rPr>
      </w:pPr>
      <w:r>
        <w:rPr>
          <w:sz w:val="20"/>
        </w:rPr>
        <w:t>1</w:t>
      </w:r>
      <w:r w:rsidR="00FB2E5C" w:rsidRPr="00FB2E5C">
        <w:rPr>
          <w:sz w:val="20"/>
        </w:rPr>
        <w:t>.</w:t>
      </w:r>
      <w:r w:rsidR="00016961">
        <w:rPr>
          <w:sz w:val="20"/>
        </w:rPr>
        <w:t xml:space="preserve"> Fonte Tesouro</w:t>
      </w:r>
    </w:p>
    <w:p w:rsidR="00FB2E5C" w:rsidRPr="00FB2E5C" w:rsidRDefault="006A5198" w:rsidP="00FB2E5C">
      <w:pPr>
        <w:pBdr>
          <w:top w:val="single" w:sz="4" w:space="1" w:color="auto"/>
        </w:pBdr>
        <w:spacing w:after="0"/>
        <w:ind w:right="-1" w:firstLine="0"/>
        <w:rPr>
          <w:sz w:val="20"/>
        </w:rPr>
      </w:pPr>
      <w:r>
        <w:rPr>
          <w:sz w:val="20"/>
        </w:rPr>
        <w:t>22.</w:t>
      </w:r>
      <w:r w:rsidR="001D092A">
        <w:rPr>
          <w:sz w:val="20"/>
        </w:rPr>
        <w:t xml:space="preserve"> </w:t>
      </w:r>
      <w:r w:rsidR="00016961">
        <w:rPr>
          <w:sz w:val="20"/>
        </w:rPr>
        <w:t>Cota-Parte da Compensação Financeira dos Recursos Hídricos</w:t>
      </w:r>
    </w:p>
    <w:p w:rsidR="00FB2E5C" w:rsidRPr="00FB2E5C" w:rsidRDefault="00FB2E5C" w:rsidP="00FB2E5C">
      <w:pPr>
        <w:ind w:right="-1" w:firstLine="0"/>
        <w:rPr>
          <w:b/>
          <w:sz w:val="20"/>
        </w:rPr>
      </w:pPr>
    </w:p>
    <w:p w:rsidR="00FB2E5C" w:rsidRPr="00FB2E5C" w:rsidRDefault="00FB2E5C" w:rsidP="00FB2E5C">
      <w:pPr>
        <w:pBdr>
          <w:top w:val="single" w:sz="4" w:space="1" w:color="auto"/>
        </w:pBdr>
        <w:ind w:right="-1" w:firstLine="0"/>
        <w:rPr>
          <w:sz w:val="20"/>
        </w:rPr>
      </w:pPr>
      <w:r w:rsidRPr="001D092A">
        <w:rPr>
          <w:b/>
          <w:color w:val="0F6FC6" w:themeColor="accent1"/>
          <w:sz w:val="20"/>
        </w:rPr>
        <w:t>6.Dotação Orçamentária</w:t>
      </w:r>
      <w:r w:rsidRPr="00FB2E5C">
        <w:rPr>
          <w:sz w:val="20"/>
        </w:rPr>
        <w:t>: valor do orçamento detalhado por fonte de recurso e natureza de despesa.</w:t>
      </w:r>
    </w:p>
    <w:p w:rsidR="00FB2E5C" w:rsidRPr="00FB2E5C" w:rsidRDefault="00FB2E5C" w:rsidP="00FB2E5C">
      <w:pPr>
        <w:ind w:right="-1" w:firstLine="0"/>
        <w:rPr>
          <w:sz w:val="20"/>
        </w:rPr>
      </w:pPr>
    </w:p>
    <w:p w:rsidR="005B6E9D" w:rsidRPr="00FB2E5C" w:rsidRDefault="005B6E9D" w:rsidP="00FB2E5C">
      <w:pPr>
        <w:pBdr>
          <w:top w:val="single" w:sz="4" w:space="1" w:color="auto"/>
        </w:pBdr>
        <w:ind w:right="-1" w:firstLine="0"/>
        <w:rPr>
          <w:sz w:val="20"/>
        </w:rPr>
      </w:pPr>
      <w:r w:rsidRPr="001D092A">
        <w:rPr>
          <w:b/>
          <w:color w:val="0F6FC6" w:themeColor="accent1"/>
          <w:sz w:val="20"/>
        </w:rPr>
        <w:t>7.Dotação orçamentária total</w:t>
      </w:r>
      <w:r w:rsidRPr="00FB2E5C">
        <w:rPr>
          <w:sz w:val="20"/>
        </w:rPr>
        <w:t>: valor total por subaç</w:t>
      </w:r>
      <w:r w:rsidR="00FB2E5C" w:rsidRPr="00FB2E5C">
        <w:rPr>
          <w:sz w:val="20"/>
        </w:rPr>
        <w:t>ão.</w:t>
      </w:r>
    </w:p>
    <w:p w:rsidR="00FB2E5C" w:rsidRDefault="00FB2E5C" w:rsidP="00E938D7">
      <w:pPr>
        <w:ind w:right="-1" w:firstLine="0"/>
        <w:sectPr w:rsidR="00FB2E5C" w:rsidSect="00FB2E5C">
          <w:type w:val="continuous"/>
          <w:pgSz w:w="11906" w:h="16838"/>
          <w:pgMar w:top="1134" w:right="1134" w:bottom="1134" w:left="1134" w:header="708" w:footer="708" w:gutter="0"/>
          <w:cols w:num="2" w:space="708"/>
          <w:docGrid w:linePitch="360"/>
        </w:sectPr>
      </w:pPr>
    </w:p>
    <w:p w:rsidR="005B6E9D" w:rsidRDefault="005B6E9D" w:rsidP="00E938D7">
      <w:pPr>
        <w:ind w:right="-1" w:firstLine="0"/>
      </w:pPr>
    </w:p>
    <w:p w:rsidR="005B6E9D" w:rsidRDefault="005B6E9D" w:rsidP="00E938D7">
      <w:pPr>
        <w:ind w:right="-1" w:firstLine="0"/>
      </w:pPr>
    </w:p>
    <w:p w:rsidR="0062181C" w:rsidRDefault="0062181C" w:rsidP="00E938D7">
      <w:pPr>
        <w:ind w:right="-1" w:firstLine="0"/>
        <w:sectPr w:rsidR="0062181C" w:rsidSect="005B6E9D">
          <w:type w:val="continuous"/>
          <w:pgSz w:w="11906" w:h="16838"/>
          <w:pgMar w:top="1134" w:right="1134" w:bottom="1134" w:left="1134" w:header="708" w:footer="708" w:gutter="0"/>
          <w:cols w:space="708"/>
          <w:docGrid w:linePitch="360"/>
        </w:sectPr>
      </w:pPr>
    </w:p>
    <w:p w:rsidR="002B4889" w:rsidRPr="002B4889" w:rsidRDefault="002B4889" w:rsidP="00AD0C57">
      <w:pPr>
        <w:pStyle w:val="TITULO1"/>
        <w:numPr>
          <w:ilvl w:val="0"/>
          <w:numId w:val="5"/>
        </w:numPr>
        <w:rPr>
          <w:rFonts w:ascii="Ebrima" w:hAnsi="Ebrima"/>
          <w:color w:val="0F6FC6" w:themeColor="accent1"/>
        </w:rPr>
      </w:pPr>
      <w:bookmarkStart w:id="7" w:name="_Toc106119018"/>
      <w:r w:rsidRPr="002B4889">
        <w:rPr>
          <w:rFonts w:ascii="Ebrima" w:hAnsi="Ebrima"/>
          <w:color w:val="0F6FC6" w:themeColor="accent1"/>
        </w:rPr>
        <w:t xml:space="preserve">CONSIDERAÇÕES SOBRE A FIXAÇÃO DE DESPESAS COM A CONTRAPARTIDA EM INSTRUMENTOS DE </w:t>
      </w:r>
      <w:r>
        <w:rPr>
          <w:rFonts w:ascii="Ebrima" w:hAnsi="Ebrima"/>
          <w:color w:val="0F6FC6" w:themeColor="accent1"/>
        </w:rPr>
        <w:t xml:space="preserve">CONVÊNIOS E OU </w:t>
      </w:r>
      <w:r w:rsidRPr="002B4889">
        <w:rPr>
          <w:rFonts w:ascii="Ebrima" w:hAnsi="Ebrima"/>
          <w:color w:val="0F6FC6" w:themeColor="accent1"/>
        </w:rPr>
        <w:t>REPASSE CELEBRADOS COM A UNIÃO</w:t>
      </w:r>
      <w:bookmarkEnd w:id="7"/>
    </w:p>
    <w:p w:rsidR="002B4889" w:rsidRDefault="002B4889" w:rsidP="00CF3DAF">
      <w:r w:rsidRPr="001D54BA">
        <w:t xml:space="preserve">É </w:t>
      </w:r>
      <w:r>
        <w:t>cediço</w:t>
      </w:r>
      <w:r w:rsidRPr="001D54BA">
        <w:t xml:space="preserve"> que algumas atividades estatais em prol da sociedade devem ser p</w:t>
      </w:r>
      <w:r>
        <w:t>rovidas em face de um interesse comum</w:t>
      </w:r>
      <w:r w:rsidRPr="001D54BA">
        <w:t xml:space="preserve"> entre a União e os estados-membros. </w:t>
      </w:r>
    </w:p>
    <w:p w:rsidR="002B4889" w:rsidRDefault="002B4889" w:rsidP="00CF3DAF">
      <w:r w:rsidRPr="001D54BA">
        <w:t xml:space="preserve">Nesse sentido, esses entes federados lançam mão de instrumentos jurídicos especiais, visando possibilitar a transferência de recursos e o estabelecimento de obrigações recíprocas, a fim de alcançar esses objetivos em comum. </w:t>
      </w:r>
    </w:p>
    <w:p w:rsidR="002B4889" w:rsidRDefault="002B4889" w:rsidP="00CF3DAF">
      <w:r w:rsidRPr="001D54BA">
        <w:t xml:space="preserve">No presente capítulo, serão discutidas particularidades relativas à previsão de despesas de convênios e termos de repasse na lei orçamentária anual - o que é necessário para a compreensão do processo de planejamento orçamentário e da adequação com as receitas que as financiarão, bem como com a futura execução do orçamento. </w:t>
      </w:r>
    </w:p>
    <w:p w:rsidR="002B4889" w:rsidRDefault="002B4889" w:rsidP="00CF3DAF">
      <w:r w:rsidRPr="001D54BA">
        <w:t xml:space="preserve">Observando o Decreto nº 49/2015 e a Resolução GGG nº 11/2019, </w:t>
      </w:r>
      <w:r>
        <w:t xml:space="preserve">e </w:t>
      </w:r>
      <w:r w:rsidRPr="001D54BA">
        <w:t>por força da Portaria Interministerial nº 424, de 30 de dezembro de 2016 (</w:t>
      </w:r>
      <w:hyperlink r:id="rId30" w:history="1">
        <w:r w:rsidRPr="002B4889">
          <w:rPr>
            <w:rStyle w:val="Hyperlink"/>
            <w:b/>
            <w:color w:val="0F6FC6" w:themeColor="accent1"/>
          </w:rPr>
          <w:t>http://www.planalto.gov.br/ccivil_03/Portaria/prt-424-16-m.planejamento.htm),</w:t>
        </w:r>
      </w:hyperlink>
      <w:r w:rsidRPr="001D54BA">
        <w:t xml:space="preserve"> é condição para a celebração de convênios e termos de repasse entre órgãos e entidades da Administração Pública Federal (concedente) e órgãos ou entidades públicas dos estados-membros a existência de dotação orçamentária específica da contrapartida no orçamento do convenente. </w:t>
      </w:r>
    </w:p>
    <w:p w:rsidR="002B4889" w:rsidRDefault="002B4889" w:rsidP="00CF3DAF">
      <w:r w:rsidRPr="001D54BA">
        <w:t xml:space="preserve">Assim, as unidades orçamentárias do Estado que tenham a intenção de </w:t>
      </w:r>
      <w:r w:rsidRPr="002B4889">
        <w:t>planejar a contratação com a União de instrumentos de repasse dessa natureza</w:t>
      </w:r>
      <w:r w:rsidRPr="001D54BA">
        <w:t xml:space="preserve">, </w:t>
      </w:r>
      <w:r w:rsidRPr="002B4889">
        <w:t>deverão registrar a dotação orçamentária da contrapartida</w:t>
      </w:r>
      <w:r w:rsidRPr="001D54BA">
        <w:t xml:space="preserve">, </w:t>
      </w:r>
      <w:r w:rsidRPr="00F86FC6">
        <w:t>de maneira específica, na LOA 202</w:t>
      </w:r>
      <w:r w:rsidR="00BF773D">
        <w:t>4</w:t>
      </w:r>
      <w:r w:rsidRPr="001D54BA">
        <w:t>, atendendo, portanto, à condição estabelecida pela norma federal, e, assim que for devidamente pactuado o instrumento e recebido o saldo financeiro da concedente, dever</w:t>
      </w:r>
      <w:r>
        <w:t>ão</w:t>
      </w:r>
      <w:r w:rsidRPr="001D54BA">
        <w:t xml:space="preserve"> abrir crédito orçamentário suplementar, a fim de permitir o registro da receita e a execução das despesas necessárias à consecução do objeto previsto no termo de repasse. </w:t>
      </w:r>
    </w:p>
    <w:p w:rsidR="002B4889" w:rsidRDefault="002B4889" w:rsidP="00CF3DAF">
      <w:r w:rsidRPr="001D54BA">
        <w:t>Dessa forma, a abertura desses créditos suplementares gerados a partir de então estarão excepcionados do limite para a abertura anual de créditos suplementares, estabelecido pelo art. 8º, I, da LOA 2023.</w:t>
      </w:r>
    </w:p>
    <w:p w:rsidR="00F86FC6" w:rsidRPr="00CF3DAF" w:rsidRDefault="002B4889" w:rsidP="00CF3DAF">
      <w:pPr>
        <w:rPr>
          <w:b/>
          <w:color w:val="0F6FC6" w:themeColor="accent1"/>
        </w:rPr>
      </w:pPr>
      <w:r w:rsidRPr="00CF3DAF">
        <w:rPr>
          <w:b/>
          <w:color w:val="0F6FC6" w:themeColor="accent1"/>
        </w:rPr>
        <w:t>E</w:t>
      </w:r>
      <w:r w:rsidR="00F86FC6" w:rsidRPr="00CF3DAF">
        <w:rPr>
          <w:b/>
          <w:color w:val="0F6FC6" w:themeColor="accent1"/>
        </w:rPr>
        <w:t>XEMPLO PRÁTICO</w:t>
      </w:r>
      <w:r w:rsidRPr="00CF3DAF">
        <w:rPr>
          <w:b/>
          <w:color w:val="0F6FC6" w:themeColor="accent1"/>
        </w:rPr>
        <w:t xml:space="preserve">: </w:t>
      </w:r>
    </w:p>
    <w:p w:rsidR="005F421B" w:rsidRDefault="00F86FC6" w:rsidP="00CF3DAF">
      <w:pPr>
        <w:rPr>
          <w:rFonts w:ascii="Ebrima" w:hAnsi="Ebrima"/>
          <w:color w:val="0F6FC6" w:themeColor="accent1"/>
          <w:sz w:val="32"/>
          <w:szCs w:val="54"/>
        </w:rPr>
      </w:pPr>
      <w:r>
        <w:t xml:space="preserve">Suponha que a </w:t>
      </w:r>
      <w:r w:rsidR="002B4889">
        <w:t>Unidade Orçamentária “X” pretende celebrar convênio com a união no valor de R$ 1.000.000,00</w:t>
      </w:r>
      <w:r>
        <w:t xml:space="preserve"> (um milhão de reais)</w:t>
      </w:r>
      <w:r w:rsidR="002B4889">
        <w:t xml:space="preserve">. Neste sentido, é considerado </w:t>
      </w:r>
      <w:r>
        <w:t>na elaboração d</w:t>
      </w:r>
      <w:r w:rsidR="002B4889">
        <w:t xml:space="preserve">o orçamento de 2023 a dotação referente a contrapartida </w:t>
      </w:r>
      <w:r>
        <w:t xml:space="preserve">para efetuar este convênio. Neste caso, suponha que o valor seja de R$ 200.000,00 (duzentos mil reais) de contrapartida, é este o valor que deve ser previsto na LOA 2023. Com relação ao </w:t>
      </w:r>
      <w:proofErr w:type="spellStart"/>
      <w:r>
        <w:t>pré</w:t>
      </w:r>
      <w:proofErr w:type="spellEnd"/>
      <w:r>
        <w:t xml:space="preserve">-empenho, devido a Resolução do GGG </w:t>
      </w:r>
      <w:r w:rsidRPr="00F86FC6">
        <w:t>11/2019</w:t>
      </w:r>
      <w:r>
        <w:t>, poderá ser realizado sem a necessidade do total do orçamento do convênio. Após realizada a licitação e o repasse da União enviado para a Unidade, a mesma deverá solicitar abertura de créditos suplementares para a GEREO (</w:t>
      </w:r>
      <w:hyperlink r:id="rId31" w:history="1">
        <w:r w:rsidRPr="00F86FC6">
          <w:rPr>
            <w:rStyle w:val="Hyperlink"/>
            <w:color w:val="0F6FC6" w:themeColor="accent1"/>
          </w:rPr>
          <w:t>gereo@sef.sc.gov.br</w:t>
        </w:r>
      </w:hyperlink>
      <w:r>
        <w:t>) como fonte de excesso de arrecadação e assim completar o orçamento com o valor total para execução do convênio.</w:t>
      </w:r>
      <w:r w:rsidR="005F421B">
        <w:rPr>
          <w:rFonts w:ascii="Ebrima" w:hAnsi="Ebrima"/>
          <w:color w:val="0F6FC6" w:themeColor="accent1"/>
        </w:rPr>
        <w:br w:type="page"/>
      </w:r>
    </w:p>
    <w:p w:rsidR="009C732E" w:rsidRPr="005F421B" w:rsidRDefault="009C732E" w:rsidP="009C732E">
      <w:pPr>
        <w:pStyle w:val="TITULO1"/>
        <w:numPr>
          <w:ilvl w:val="0"/>
          <w:numId w:val="5"/>
        </w:numPr>
        <w:rPr>
          <w:rFonts w:ascii="Ebrima" w:hAnsi="Ebrima"/>
          <w:color w:val="0F6FC6" w:themeColor="accent1"/>
        </w:rPr>
      </w:pPr>
      <w:bookmarkStart w:id="8" w:name="_Toc106119019"/>
      <w:r w:rsidRPr="005F421B">
        <w:rPr>
          <w:rFonts w:ascii="Ebrima" w:hAnsi="Ebrima"/>
          <w:color w:val="0F6FC6" w:themeColor="accent1"/>
        </w:rPr>
        <w:lastRenderedPageBreak/>
        <w:t>COTA ORÇAMENTÁRIA</w:t>
      </w:r>
      <w:bookmarkEnd w:id="8"/>
      <w:r w:rsidR="00F445DA" w:rsidRPr="005F421B">
        <w:rPr>
          <w:rFonts w:ascii="Ebrima" w:hAnsi="Ebrima"/>
          <w:noProof/>
          <w:color w:val="0F6FC6" w:themeColor="accent1"/>
          <w:lang w:eastAsia="pt-BR"/>
        </w:rPr>
        <w:t xml:space="preserve"> </w:t>
      </w:r>
    </w:p>
    <w:p w:rsidR="00963B3A" w:rsidRDefault="00963B3A" w:rsidP="00963B3A">
      <w:r>
        <w:t>Para a elaboração da LOA 202</w:t>
      </w:r>
      <w:r w:rsidR="00BE4EEB">
        <w:t>4</w:t>
      </w:r>
      <w:r>
        <w:t xml:space="preserve"> deve ser observado a programação orçamentária, pois conforme “</w:t>
      </w:r>
      <w:r w:rsidRPr="006B77F7">
        <w:rPr>
          <w:b/>
        </w:rPr>
        <w:t>Art. 165 § 10</w:t>
      </w:r>
      <w:r w:rsidRPr="00963B3A">
        <w:t xml:space="preserve">. </w:t>
      </w:r>
      <w:r w:rsidRPr="00963B3A">
        <w:rPr>
          <w:color w:val="0F6FC6" w:themeColor="accent1"/>
          <w:u w:val="single"/>
        </w:rPr>
        <w:t>A administração tem o dever de executar as programações orçamentárias</w:t>
      </w:r>
      <w:r w:rsidRPr="00963B3A">
        <w:t>, adotando os meios e as medidas necessários, com o propósito de garantir a efetiva entrega de bens e serviços à sociedade</w:t>
      </w:r>
      <w:r>
        <w:t>”</w:t>
      </w:r>
      <w:r w:rsidRPr="0069738C">
        <w:t>.</w:t>
      </w:r>
    </w:p>
    <w:p w:rsidR="00963B3A" w:rsidRDefault="00963B3A" w:rsidP="00963B3A">
      <w:r>
        <w:t xml:space="preserve">Deste modo, as dotações devem ser propostas com vistas a serem executadas. As subações com orçamentos que não estão sendo executados nos últimos, ou que não tem previsão de aprovação de projetos de obras, ou convênios que não tem previsão de serem assinados, dentre outros, </w:t>
      </w:r>
      <w:r w:rsidRPr="00963B3A">
        <w:rPr>
          <w:color w:val="0F6FC6" w:themeColor="accent1"/>
          <w:u w:val="single"/>
        </w:rPr>
        <w:t>de preferência, não devem constar na LOA de 202</w:t>
      </w:r>
      <w:r w:rsidR="00A95B8F">
        <w:rPr>
          <w:color w:val="0F6FC6" w:themeColor="accent1"/>
          <w:u w:val="single"/>
        </w:rPr>
        <w:t>4</w:t>
      </w:r>
      <w:r>
        <w:t>.</w:t>
      </w:r>
    </w:p>
    <w:p w:rsidR="009C732E" w:rsidRDefault="009C732E" w:rsidP="0018477E">
      <w:pPr>
        <w:rPr>
          <w:noProof/>
          <w:lang w:eastAsia="pt-BR"/>
        </w:rPr>
      </w:pPr>
      <w:r w:rsidRPr="009C732E">
        <w:t>A fixação das despesas pelas Unidades Orçamentárias será determinada até o limite das cotas orçamentárias oriundas da previsão da receita, conforme demonstrado a seguir:</w:t>
      </w:r>
    </w:p>
    <w:p w:rsidR="006B77F7" w:rsidRDefault="006B77F7" w:rsidP="006B77F7">
      <w:pPr>
        <w:ind w:firstLine="0"/>
        <w:jc w:val="center"/>
      </w:pPr>
      <w:r>
        <w:rPr>
          <w:noProof/>
          <w:lang w:eastAsia="pt-BR"/>
        </w:rPr>
        <w:drawing>
          <wp:inline distT="0" distB="0" distL="0" distR="0" wp14:anchorId="7B06D3D5" wp14:editId="1062EB1D">
            <wp:extent cx="5499100" cy="5085441"/>
            <wp:effectExtent l="152400" t="152400" r="368300" b="36322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02553" cy="5088634"/>
                    </a:xfrm>
                    <a:prstGeom prst="rect">
                      <a:avLst/>
                    </a:prstGeom>
                    <a:ln>
                      <a:noFill/>
                    </a:ln>
                    <a:effectLst>
                      <a:outerShdw blurRad="292100" dist="139700" dir="2700000" algn="tl" rotWithShape="0">
                        <a:srgbClr val="333333">
                          <a:alpha val="65000"/>
                        </a:srgbClr>
                      </a:outerShdw>
                    </a:effectLst>
                  </pic:spPr>
                </pic:pic>
              </a:graphicData>
            </a:graphic>
          </wp:inline>
        </w:drawing>
      </w:r>
    </w:p>
    <w:p w:rsidR="00BA5530" w:rsidRDefault="00CF3DAF" w:rsidP="00D22FB2">
      <w:r w:rsidRPr="00CF3DAF">
        <w:t>N’</w:t>
      </w:r>
      <w:r>
        <w:t xml:space="preserve"> (s) receita (s) gera (m) uma única Fonte de Recurso para serem alocadas nas despesas conforme a origem ou destinação do recurso.</w:t>
      </w:r>
    </w:p>
    <w:p w:rsidR="00BA5530" w:rsidRDefault="00BA5530" w:rsidP="00D22FB2"/>
    <w:p w:rsidR="00D22FB2" w:rsidRDefault="009C732E" w:rsidP="00D22FB2">
      <w:r w:rsidRPr="009C732E">
        <w:lastRenderedPageBreak/>
        <w:t>Os tetos orçamentários serão disponibilizados por Fonte de Recursos (FR) e, no caso do Poder Executivo, por Grupo de Natureza das Despesas (GND), visando estabelecer de forma objetiva o relacionamento entre a programação da despesa e a capacidade financeira do Estado.</w:t>
      </w:r>
    </w:p>
    <w:p w:rsidR="00CF3DAF" w:rsidRDefault="00B77DF5" w:rsidP="00D22FB2">
      <w:r>
        <w:t>Abaixo segue exemplo de</w:t>
      </w:r>
      <w:r w:rsidR="00CF3DAF">
        <w:t xml:space="preserve"> relatório “</w:t>
      </w:r>
      <w:r w:rsidR="00CF3DAF" w:rsidRPr="00CF3DAF">
        <w:rPr>
          <w:b/>
        </w:rPr>
        <w:t>Listar Cota Orçamentária</w:t>
      </w:r>
      <w:r w:rsidR="00CF3DAF">
        <w:t xml:space="preserve">” onde cada unidade poderá verificar a cota por fonte de recursos. </w:t>
      </w:r>
    </w:p>
    <w:p w:rsidR="00CF3DAF" w:rsidRDefault="00CF3DAF" w:rsidP="00A4763D">
      <w:pPr>
        <w:spacing w:after="0"/>
        <w:ind w:firstLine="0"/>
        <w:jc w:val="center"/>
      </w:pPr>
      <w:r>
        <w:rPr>
          <w:noProof/>
          <w:lang w:eastAsia="pt-BR"/>
        </w:rPr>
        <w:drawing>
          <wp:inline distT="0" distB="0" distL="0" distR="0" wp14:anchorId="32B0179E" wp14:editId="028FE8B4">
            <wp:extent cx="5530850" cy="2072778"/>
            <wp:effectExtent l="152400" t="152400" r="355600" b="36576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50189" cy="2080025"/>
                    </a:xfrm>
                    <a:prstGeom prst="rect">
                      <a:avLst/>
                    </a:prstGeom>
                    <a:ln>
                      <a:noFill/>
                    </a:ln>
                    <a:effectLst>
                      <a:outerShdw blurRad="292100" dist="139700" dir="2700000" algn="tl" rotWithShape="0">
                        <a:srgbClr val="333333">
                          <a:alpha val="65000"/>
                        </a:srgbClr>
                      </a:outerShdw>
                    </a:effectLst>
                  </pic:spPr>
                </pic:pic>
              </a:graphicData>
            </a:graphic>
          </wp:inline>
        </w:drawing>
      </w:r>
    </w:p>
    <w:p w:rsidR="0018477E" w:rsidRDefault="00CF3DAF" w:rsidP="00A4763D">
      <w:pPr>
        <w:spacing w:after="0"/>
        <w:ind w:firstLine="0"/>
        <w:jc w:val="center"/>
      </w:pPr>
      <w:r>
        <w:rPr>
          <w:noProof/>
          <w:lang w:eastAsia="pt-BR"/>
        </w:rPr>
        <w:drawing>
          <wp:inline distT="0" distB="0" distL="0" distR="0" wp14:anchorId="1C8C7CB0" wp14:editId="1E198EDE">
            <wp:extent cx="5630813" cy="1802352"/>
            <wp:effectExtent l="152400" t="152400" r="370205" b="36957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59759" cy="1811617"/>
                    </a:xfrm>
                    <a:prstGeom prst="rect">
                      <a:avLst/>
                    </a:prstGeom>
                    <a:ln>
                      <a:noFill/>
                    </a:ln>
                    <a:effectLst>
                      <a:outerShdw blurRad="292100" dist="139700" dir="2700000" algn="tl" rotWithShape="0">
                        <a:srgbClr val="333333">
                          <a:alpha val="65000"/>
                        </a:srgbClr>
                      </a:outerShdw>
                    </a:effectLst>
                  </pic:spPr>
                </pic:pic>
              </a:graphicData>
            </a:graphic>
          </wp:inline>
        </w:drawing>
      </w:r>
      <w:r w:rsidR="0018477E">
        <w:br w:type="page"/>
      </w:r>
    </w:p>
    <w:p w:rsidR="0086507C" w:rsidRPr="002B4889" w:rsidRDefault="0086507C" w:rsidP="0086507C">
      <w:pPr>
        <w:pStyle w:val="Titlulo2"/>
        <w:rPr>
          <w:rFonts w:ascii="Ebrima" w:hAnsi="Ebrima"/>
          <w:color w:val="0F6FC6" w:themeColor="accent1"/>
        </w:rPr>
      </w:pPr>
      <w:bookmarkStart w:id="9" w:name="_Toc106119020"/>
      <w:r w:rsidRPr="002B4889">
        <w:rPr>
          <w:rFonts w:ascii="Ebrima" w:hAnsi="Ebrima"/>
          <w:color w:val="0F6FC6" w:themeColor="accent1"/>
        </w:rPr>
        <w:lastRenderedPageBreak/>
        <w:t>Cotas Orçamentárias para 202</w:t>
      </w:r>
      <w:bookmarkEnd w:id="9"/>
      <w:r w:rsidR="00320BB6">
        <w:rPr>
          <w:rFonts w:ascii="Ebrima" w:hAnsi="Ebrima"/>
          <w:color w:val="0F6FC6" w:themeColor="accent1"/>
        </w:rPr>
        <w:t>4</w:t>
      </w:r>
      <w:r w:rsidR="00F445DA" w:rsidRPr="002B4889">
        <w:rPr>
          <w:rFonts w:ascii="Ebrima" w:hAnsi="Ebrima"/>
          <w:noProof/>
          <w:color w:val="0F6FC6" w:themeColor="accent1"/>
          <w:lang w:eastAsia="pt-BR"/>
        </w:rPr>
        <w:t xml:space="preserve"> </w:t>
      </w:r>
    </w:p>
    <w:p w:rsidR="0086507C" w:rsidRDefault="0086507C" w:rsidP="0086507C">
      <w:r>
        <w:t>As cotas orçamentárias para 202</w:t>
      </w:r>
      <w:r w:rsidR="00320BB6">
        <w:t>4</w:t>
      </w:r>
      <w:r>
        <w:t xml:space="preserve"> serão disponibilizadas pelo Órgão Central do Sistema de Planejamento e Orçamento por Fonte de Recurso (FR) e, no caso das Unidades Orçamentárias do Poder Executivo, por Grupo de Natureza de Despesa (GND). </w:t>
      </w:r>
      <w:r>
        <w:tab/>
      </w:r>
    </w:p>
    <w:p w:rsidR="0086507C" w:rsidRDefault="0086507C" w:rsidP="0086507C">
      <w:r>
        <w:t>A definição das cotas por GND observará os seguintes conceitos:</w:t>
      </w:r>
    </w:p>
    <w:p w:rsidR="0086507C" w:rsidRDefault="0018477E" w:rsidP="0086507C">
      <w:r w:rsidRPr="002B4889">
        <w:rPr>
          <w:b/>
          <w:color w:val="0F6FC6" w:themeColor="accent1"/>
        </w:rPr>
        <w:t>•</w:t>
      </w:r>
      <w:r w:rsidR="0086507C" w:rsidRPr="002B4889">
        <w:rPr>
          <w:b/>
          <w:color w:val="0F6FC6" w:themeColor="accent1"/>
        </w:rPr>
        <w:t>GND 3.1 – Pessoal e Encargos Sociais:</w:t>
      </w:r>
      <w:r w:rsidR="0086507C" w:rsidRPr="002B4889">
        <w:rPr>
          <w:color w:val="0F6FC6" w:themeColor="accent1"/>
        </w:rPr>
        <w:t xml:space="preserve"> </w:t>
      </w:r>
      <w:r w:rsidR="0086507C">
        <w:t>Elaborada com base em sua folha de pagamento atual, assim como no montante total gasto no exercício anterior ao da Lei Orçamentaria Anual (LOA) de referência, considerando, quando possível, as oscilações ocorridas, tais como contratações ou reduções no quadro de pessoal e reajustes autorizados.</w:t>
      </w:r>
    </w:p>
    <w:p w:rsidR="0086507C" w:rsidRDefault="0018477E" w:rsidP="0086507C">
      <w:r w:rsidRPr="002B4889">
        <w:rPr>
          <w:b/>
          <w:color w:val="0F6FC6" w:themeColor="accent1"/>
        </w:rPr>
        <w:t>•</w:t>
      </w:r>
      <w:r w:rsidR="0086507C" w:rsidRPr="002B4889">
        <w:rPr>
          <w:b/>
          <w:color w:val="0F6FC6" w:themeColor="accent1"/>
        </w:rPr>
        <w:t>GND 3.3 – Outras Despesas Correntes:</w:t>
      </w:r>
      <w:r w:rsidR="0086507C" w:rsidRPr="002B4889">
        <w:rPr>
          <w:color w:val="0F6FC6" w:themeColor="accent1"/>
        </w:rPr>
        <w:t xml:space="preserve"> </w:t>
      </w:r>
      <w:r w:rsidR="0086507C">
        <w:t>volume de recursos projetado para a manutenção das atividades exercidas pelos órgãos e unidades orçamentárias que integram os Orçamentos Fiscal e da Seguridade Social, observados os níveis quantitativos atuais de serviços/produtos, a capacidade produtiva instalada e a tecnologia empregada. Para fins de totalização de Cota na GND 3.1 devem ser considerados alguns elementos da GND 3.3, pois também são consideradas despesas relacionadas aos encargos sociais:</w:t>
      </w:r>
    </w:p>
    <w:p w:rsidR="0086507C" w:rsidRDefault="002F186E" w:rsidP="002F186E">
      <w:pPr>
        <w:ind w:firstLine="0"/>
      </w:pPr>
      <w:r w:rsidRPr="00B77DF5">
        <w:rPr>
          <w:noProof/>
          <w:color w:val="FF0000"/>
          <w:lang w:eastAsia="pt-BR"/>
        </w:rPr>
        <w:drawing>
          <wp:anchor distT="0" distB="0" distL="114300" distR="114300" simplePos="0" relativeHeight="251929600" behindDoc="1" locked="0" layoutInCell="1" allowOverlap="1">
            <wp:simplePos x="0" y="0"/>
            <wp:positionH relativeFrom="column">
              <wp:posOffset>151178</wp:posOffset>
            </wp:positionH>
            <wp:positionV relativeFrom="paragraph">
              <wp:posOffset>157971</wp:posOffset>
            </wp:positionV>
            <wp:extent cx="4581525" cy="1905000"/>
            <wp:effectExtent l="152400" t="152400" r="371475" b="361950"/>
            <wp:wrapSquare wrapText="bothSides"/>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581525" cy="1905000"/>
                    </a:xfrm>
                    <a:prstGeom prst="rect">
                      <a:avLst/>
                    </a:prstGeom>
                    <a:ln>
                      <a:noFill/>
                    </a:ln>
                    <a:effectLst>
                      <a:outerShdw blurRad="292100" dist="139700" dir="2700000" algn="tl" rotWithShape="0">
                        <a:srgbClr val="333333">
                          <a:alpha val="65000"/>
                        </a:srgbClr>
                      </a:outerShdw>
                    </a:effectLst>
                  </pic:spPr>
                </pic:pic>
              </a:graphicData>
            </a:graphic>
          </wp:anchor>
        </w:drawing>
      </w:r>
    </w:p>
    <w:p w:rsidR="0086507C" w:rsidRDefault="002B4889" w:rsidP="0086507C">
      <w:r>
        <w:rPr>
          <w:noProof/>
          <w:lang w:eastAsia="pt-BR"/>
        </w:rPr>
        <w:drawing>
          <wp:anchor distT="0" distB="0" distL="114300" distR="114300" simplePos="0" relativeHeight="251997184" behindDoc="1" locked="0" layoutInCell="1" allowOverlap="1" wp14:anchorId="5D5ECAF1" wp14:editId="189C726B">
            <wp:simplePos x="0" y="0"/>
            <wp:positionH relativeFrom="column">
              <wp:posOffset>4982210</wp:posOffset>
            </wp:positionH>
            <wp:positionV relativeFrom="paragraph">
              <wp:posOffset>314960</wp:posOffset>
            </wp:positionV>
            <wp:extent cx="800100" cy="800100"/>
            <wp:effectExtent l="0" t="0" r="0" b="0"/>
            <wp:wrapTight wrapText="bothSides">
              <wp:wrapPolygon edited="0">
                <wp:start x="0" y="0"/>
                <wp:lineTo x="0" y="21086"/>
                <wp:lineTo x="21086" y="21086"/>
                <wp:lineTo x="21086" y="0"/>
                <wp:lineTo x="0" y="0"/>
              </wp:wrapPolygon>
            </wp:wrapTight>
            <wp:docPr id="6" name="Imagem 6" descr="Exclamação - ícones de sinais grá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clamação - ícones de sinais gráti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186E">
        <w:rPr>
          <w:noProof/>
          <w:lang w:eastAsia="pt-BR"/>
        </w:rPr>
        <mc:AlternateContent>
          <mc:Choice Requires="wps">
            <w:drawing>
              <wp:anchor distT="0" distB="0" distL="114300" distR="114300" simplePos="0" relativeHeight="251917312" behindDoc="0" locked="0" layoutInCell="1" allowOverlap="1" wp14:anchorId="010EA6D3" wp14:editId="2A22A24D">
                <wp:simplePos x="0" y="0"/>
                <wp:positionH relativeFrom="column">
                  <wp:posOffset>478754</wp:posOffset>
                </wp:positionH>
                <wp:positionV relativeFrom="paragraph">
                  <wp:posOffset>14330</wp:posOffset>
                </wp:positionV>
                <wp:extent cx="4037162" cy="1647645"/>
                <wp:effectExtent l="0" t="0" r="20955" b="10160"/>
                <wp:wrapNone/>
                <wp:docPr id="19" name="Caixa de Texto 19"/>
                <wp:cNvGraphicFramePr/>
                <a:graphic xmlns:a="http://schemas.openxmlformats.org/drawingml/2006/main">
                  <a:graphicData uri="http://schemas.microsoft.com/office/word/2010/wordprocessingShape">
                    <wps:wsp>
                      <wps:cNvSpPr txBox="1"/>
                      <wps:spPr>
                        <a:xfrm>
                          <a:off x="0" y="0"/>
                          <a:ext cx="4037162" cy="1647645"/>
                        </a:xfrm>
                        <a:prstGeom prst="rect">
                          <a:avLst/>
                        </a:prstGeom>
                        <a:noFill/>
                        <a:ln w="6350">
                          <a:solidFill>
                            <a:srgbClr val="6FB7B8"/>
                          </a:solidFill>
                        </a:ln>
                      </wps:spPr>
                      <wps:txbx>
                        <w:txbxContent>
                          <w:p w:rsidR="00195FDE" w:rsidRDefault="00195FDE" w:rsidP="0086507C">
                            <w:pPr>
                              <w:ind w:firstLine="0"/>
                              <w:rPr>
                                <w:color w:val="000000"/>
                              </w:rPr>
                            </w:pPr>
                            <w:r>
                              <w:rPr>
                                <w:b/>
                                <w:color w:val="FF0000"/>
                              </w:rPr>
                              <w:t xml:space="preserve">Atenção: </w:t>
                            </w:r>
                            <w:r>
                              <w:rPr>
                                <w:color w:val="000000"/>
                              </w:rPr>
                              <w:t>estes elementos compõem a</w:t>
                            </w:r>
                            <w:r>
                              <w:rPr>
                                <w:b/>
                                <w:color w:val="FF0000"/>
                              </w:rPr>
                              <w:t xml:space="preserve"> </w:t>
                            </w:r>
                            <w:r>
                              <w:rPr>
                                <w:color w:val="000000"/>
                              </w:rPr>
                              <w:t>folha de pagamento; portanto, quem os utiliza deverá fixar despesas neles na LOA de 2022.</w:t>
                            </w:r>
                          </w:p>
                          <w:p w:rsidR="00195FDE" w:rsidRPr="0086507C" w:rsidRDefault="00195FDE" w:rsidP="0086507C">
                            <w:pPr>
                              <w:spacing w:after="0"/>
                              <w:ind w:firstLine="0"/>
                            </w:pPr>
                            <w:r w:rsidRPr="0086507C">
                              <w:t>3</w:t>
                            </w:r>
                            <w:r>
                              <w:t>.3.90.39.</w:t>
                            </w:r>
                            <w:r w:rsidRPr="0086507C">
                              <w:t xml:space="preserve">40 </w:t>
                            </w:r>
                            <w:r>
                              <w:t xml:space="preserve">- </w:t>
                            </w:r>
                            <w:r w:rsidRPr="0086507C">
                              <w:t>Program</w:t>
                            </w:r>
                            <w:r>
                              <w:t>a de Alimentação do Trabalhador</w:t>
                            </w:r>
                          </w:p>
                          <w:p w:rsidR="00195FDE" w:rsidRPr="0086507C" w:rsidRDefault="00195FDE" w:rsidP="0086507C">
                            <w:pPr>
                              <w:spacing w:after="0"/>
                              <w:ind w:firstLine="0"/>
                            </w:pPr>
                            <w:r>
                              <w:t>3.3.90.46 - Auxílio-Alimentação</w:t>
                            </w:r>
                          </w:p>
                          <w:p w:rsidR="00195FDE" w:rsidRPr="0086507C" w:rsidRDefault="00195FDE" w:rsidP="0086507C">
                            <w:pPr>
                              <w:spacing w:after="0"/>
                              <w:ind w:firstLine="0"/>
                            </w:pPr>
                            <w:r w:rsidRPr="0086507C">
                              <w:t xml:space="preserve">3.3.90.93 </w:t>
                            </w:r>
                            <w:r>
                              <w:t xml:space="preserve">- </w:t>
                            </w:r>
                            <w:r w:rsidRPr="0086507C">
                              <w:t>Indeniz</w:t>
                            </w:r>
                            <w:r>
                              <w:t>ação por uso de Veículo Próprio</w:t>
                            </w:r>
                          </w:p>
                          <w:p w:rsidR="00195FDE" w:rsidRDefault="00195FDE" w:rsidP="0086507C">
                            <w:pPr>
                              <w:spacing w:after="0"/>
                              <w:ind w:firstLine="0"/>
                              <w:rPr>
                                <w:b/>
                                <w:color w:val="619F9E"/>
                              </w:rPr>
                            </w:pPr>
                            <w:r w:rsidRPr="0086507C">
                              <w:t xml:space="preserve">3.3.91.13 </w:t>
                            </w:r>
                            <w:r>
                              <w:t xml:space="preserve">- </w:t>
                            </w:r>
                            <w:r w:rsidRPr="0086507C">
                              <w:t>Contribuição ao Plano de Saúde</w:t>
                            </w:r>
                          </w:p>
                          <w:p w:rsidR="00195FDE" w:rsidRDefault="00195FDE" w:rsidP="0086507C">
                            <w:pPr>
                              <w:ind w:firstLine="0"/>
                            </w:pPr>
                          </w:p>
                          <w:p w:rsidR="00195FDE" w:rsidRPr="007C5D2D" w:rsidRDefault="00195FDE" w:rsidP="0086507C">
                            <w:pPr>
                              <w:spacing w:after="0"/>
                              <w:ind w:firstLine="0"/>
                              <w:rPr>
                                <w:b/>
                                <w:color w:val="619F9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EA6D3" id="Caixa de Texto 19" o:spid="_x0000_s1034" type="#_x0000_t202" style="position:absolute;left:0;text-align:left;margin-left:37.7pt;margin-top:1.15pt;width:317.9pt;height:129.7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" filled="f" strokecolor="#6fb7b8" strokeweight=".5pt">
                <v:textbox>
                  <w:txbxContent>
                    <w:p w:rsidR="00195FDE" w:rsidRDefault="00195FDE" w:rsidP="0086507C">
                      <w:pPr>
                        <w:ind w:firstLine="0"/>
                        <w:rPr>
                          <w:color w:val="000000"/>
                        </w:rPr>
                      </w:pPr>
                      <w:r>
                        <w:rPr>
                          <w:b/>
                          <w:color w:val="FF0000"/>
                        </w:rPr>
                        <w:t xml:space="preserve">Atenção: </w:t>
                      </w:r>
                      <w:r>
                        <w:rPr>
                          <w:color w:val="000000"/>
                        </w:rPr>
                        <w:t>estes elementos compõem a</w:t>
                      </w:r>
                      <w:r>
                        <w:rPr>
                          <w:b/>
                          <w:color w:val="FF0000"/>
                        </w:rPr>
                        <w:t xml:space="preserve"> </w:t>
                      </w:r>
                      <w:r>
                        <w:rPr>
                          <w:color w:val="000000"/>
                        </w:rPr>
                        <w:t>folha de pagamento; portanto, quem os utiliza deverá fixar despesas neles na LOA de 2022.</w:t>
                      </w:r>
                    </w:p>
                    <w:p w:rsidR="00195FDE" w:rsidRPr="0086507C" w:rsidRDefault="00195FDE" w:rsidP="0086507C">
                      <w:pPr>
                        <w:spacing w:after="0"/>
                        <w:ind w:firstLine="0"/>
                      </w:pPr>
                      <w:r w:rsidRPr="0086507C">
                        <w:t>3</w:t>
                      </w:r>
                      <w:r>
                        <w:t>.3.90.39.</w:t>
                      </w:r>
                      <w:r w:rsidRPr="0086507C">
                        <w:t xml:space="preserve">40 </w:t>
                      </w:r>
                      <w:r>
                        <w:t xml:space="preserve">- </w:t>
                      </w:r>
                      <w:r w:rsidRPr="0086507C">
                        <w:t>Program</w:t>
                      </w:r>
                      <w:r>
                        <w:t>a de Alimentação do Trabalhador</w:t>
                      </w:r>
                    </w:p>
                    <w:p w:rsidR="00195FDE" w:rsidRPr="0086507C" w:rsidRDefault="00195FDE" w:rsidP="0086507C">
                      <w:pPr>
                        <w:spacing w:after="0"/>
                        <w:ind w:firstLine="0"/>
                      </w:pPr>
                      <w:r>
                        <w:t>3.3.90.46 - Auxílio-Alimentação</w:t>
                      </w:r>
                    </w:p>
                    <w:p w:rsidR="00195FDE" w:rsidRPr="0086507C" w:rsidRDefault="00195FDE" w:rsidP="0086507C">
                      <w:pPr>
                        <w:spacing w:after="0"/>
                        <w:ind w:firstLine="0"/>
                      </w:pPr>
                      <w:r w:rsidRPr="0086507C">
                        <w:t xml:space="preserve">3.3.90.93 </w:t>
                      </w:r>
                      <w:r>
                        <w:t xml:space="preserve">- </w:t>
                      </w:r>
                      <w:r w:rsidRPr="0086507C">
                        <w:t>Indeniz</w:t>
                      </w:r>
                      <w:r>
                        <w:t>ação por uso de Veículo Próprio</w:t>
                      </w:r>
                    </w:p>
                    <w:p w:rsidR="00195FDE" w:rsidRDefault="00195FDE" w:rsidP="0086507C">
                      <w:pPr>
                        <w:spacing w:after="0"/>
                        <w:ind w:firstLine="0"/>
                        <w:rPr>
                          <w:b/>
                          <w:color w:val="619F9E"/>
                        </w:rPr>
                      </w:pPr>
                      <w:r w:rsidRPr="0086507C">
                        <w:t xml:space="preserve">3.3.91.13 </w:t>
                      </w:r>
                      <w:r>
                        <w:t xml:space="preserve">- </w:t>
                      </w:r>
                      <w:r w:rsidRPr="0086507C">
                        <w:t>Contribuição ao Plano de Saúde</w:t>
                      </w:r>
                    </w:p>
                    <w:p w:rsidR="00195FDE" w:rsidRDefault="00195FDE" w:rsidP="0086507C">
                      <w:pPr>
                        <w:ind w:firstLine="0"/>
                      </w:pPr>
                    </w:p>
                    <w:p w:rsidR="00195FDE" w:rsidRPr="007C5D2D" w:rsidRDefault="00195FDE" w:rsidP="0086507C">
                      <w:pPr>
                        <w:spacing w:after="0"/>
                        <w:ind w:firstLine="0"/>
                        <w:rPr>
                          <w:b/>
                          <w:color w:val="619F9E"/>
                        </w:rPr>
                      </w:pPr>
                    </w:p>
                  </w:txbxContent>
                </v:textbox>
              </v:shape>
            </w:pict>
          </mc:Fallback>
        </mc:AlternateContent>
      </w:r>
    </w:p>
    <w:p w:rsidR="0086507C" w:rsidRDefault="0086507C" w:rsidP="0086507C"/>
    <w:p w:rsidR="0086507C" w:rsidRDefault="0086507C" w:rsidP="0086507C"/>
    <w:p w:rsidR="0086507C" w:rsidRDefault="0086507C" w:rsidP="0086507C"/>
    <w:p w:rsidR="0086507C" w:rsidRDefault="0018477E" w:rsidP="0086507C">
      <w:r w:rsidRPr="002B4889">
        <w:rPr>
          <w:color w:val="0F6FC6" w:themeColor="accent1"/>
        </w:rPr>
        <w:t>•</w:t>
      </w:r>
      <w:r w:rsidR="0086507C" w:rsidRPr="002B4889">
        <w:rPr>
          <w:b/>
          <w:color w:val="0F6FC6" w:themeColor="accent1"/>
        </w:rPr>
        <w:t>GND 4.4 – Investimentos:</w:t>
      </w:r>
      <w:r w:rsidR="0086507C" w:rsidRPr="002B4889">
        <w:rPr>
          <w:color w:val="0F6FC6" w:themeColor="accent1"/>
        </w:rPr>
        <w:t xml:space="preserve"> </w:t>
      </w:r>
      <w:r w:rsidR="0086507C">
        <w:t>despesas orçamentárias com a aquisição de softwares e com o planejamento e a execução de obras, inclusive com a aquisição de imóveis considerados necessários à realização destas últimas; e com a aquisição de instalações, equipamentos e material permanente.</w:t>
      </w:r>
    </w:p>
    <w:p w:rsidR="0086507C" w:rsidRDefault="0018477E" w:rsidP="0086507C">
      <w:r w:rsidRPr="002B4889">
        <w:rPr>
          <w:b/>
          <w:color w:val="0F6FC6" w:themeColor="accent1"/>
        </w:rPr>
        <w:t>•</w:t>
      </w:r>
      <w:r w:rsidR="0086507C" w:rsidRPr="002B4889">
        <w:rPr>
          <w:b/>
          <w:color w:val="0F6FC6" w:themeColor="accent1"/>
        </w:rPr>
        <w:t>GND 4.5 – Inversões Financeiras:</w:t>
      </w:r>
      <w:r w:rsidR="0086507C" w:rsidRPr="002B4889">
        <w:rPr>
          <w:color w:val="0F6FC6" w:themeColor="accent1"/>
        </w:rPr>
        <w:t xml:space="preserve"> </w:t>
      </w:r>
      <w:r w:rsidR="0086507C">
        <w:t>despesas orçamentárias com a aquisição de imóveis ou bens de capital já em utilização; aquisição de títulos representativos do capital de empresas ou entidades de qualquer espécie, já constituídas, quando a operação não importe aumento do capital; e com a constituição ou aumento do capital de empresas, além de outras despesas classificáveis neste grupo.</w:t>
      </w:r>
    </w:p>
    <w:p w:rsidR="00961CD4" w:rsidRDefault="00486A53" w:rsidP="00961CD4">
      <w:r w:rsidRPr="00486A53">
        <w:t xml:space="preserve">Com base no exposto, as Unidades Orçamentárias terão acesso a uma planilha, conforme demonstrado na Tabela 1, com suas respectivas cotas para análise e posterior fixação das despesas nas subações orçamentárias até o nível de elemento de despesa. </w:t>
      </w:r>
    </w:p>
    <w:p w:rsidR="00486A53" w:rsidRPr="006700CF" w:rsidRDefault="00486A53" w:rsidP="00961CD4">
      <w:r w:rsidRPr="006700CF">
        <w:t xml:space="preserve">Além disso, a GEORC/DIOR também disponibilizará uma planilha contendo as despesas pagas pelas Unidades Gestoras no período de </w:t>
      </w:r>
      <w:r w:rsidR="00307C5E" w:rsidRPr="006700CF">
        <w:t>2020, 2021</w:t>
      </w:r>
      <w:r w:rsidR="006700CF" w:rsidRPr="006700CF">
        <w:t xml:space="preserve">, 2022 e até </w:t>
      </w:r>
      <w:r w:rsidRPr="006700CF">
        <w:t>maio/20</w:t>
      </w:r>
      <w:r w:rsidR="006700CF" w:rsidRPr="006700CF">
        <w:t>23</w:t>
      </w:r>
      <w:r w:rsidRPr="006700CF">
        <w:t>.</w:t>
      </w:r>
      <w:r w:rsidR="00F445DA" w:rsidRPr="006700CF">
        <w:rPr>
          <w:noProof/>
          <w:lang w:eastAsia="pt-BR"/>
        </w:rPr>
        <w:t xml:space="preserve"> </w:t>
      </w:r>
    </w:p>
    <w:tbl>
      <w:tblPr>
        <w:tblW w:w="0" w:type="auto"/>
        <w:jc w:val="center"/>
        <w:tblBorders>
          <w:bottom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5"/>
        <w:gridCol w:w="1906"/>
        <w:gridCol w:w="1701"/>
        <w:gridCol w:w="1559"/>
        <w:gridCol w:w="1503"/>
        <w:gridCol w:w="1614"/>
      </w:tblGrid>
      <w:tr w:rsidR="00A4763D" w:rsidTr="00C07A5A">
        <w:trPr>
          <w:jc w:val="center"/>
        </w:trPr>
        <w:tc>
          <w:tcPr>
            <w:tcW w:w="1355" w:type="dxa"/>
            <w:shd w:val="clear" w:color="auto" w:fill="59A9F2" w:themeFill="accent1" w:themeFillTint="99"/>
            <w:vAlign w:val="center"/>
          </w:tcPr>
          <w:p w:rsidR="00A4763D" w:rsidRPr="00DA7217" w:rsidRDefault="00A4763D" w:rsidP="00A4763D">
            <w:pPr>
              <w:spacing w:after="0" w:line="0" w:lineRule="atLeast"/>
              <w:ind w:firstLine="0"/>
              <w:jc w:val="center"/>
              <w:rPr>
                <w:b/>
                <w:color w:val="FFFFFF"/>
                <w:sz w:val="20"/>
              </w:rPr>
            </w:pPr>
            <w:r w:rsidRPr="00DA7217">
              <w:rPr>
                <w:b/>
                <w:color w:val="FFFFFF"/>
                <w:sz w:val="20"/>
              </w:rPr>
              <w:lastRenderedPageBreak/>
              <w:t>Fonte de Recurso</w:t>
            </w:r>
          </w:p>
        </w:tc>
        <w:tc>
          <w:tcPr>
            <w:tcW w:w="1906" w:type="dxa"/>
            <w:shd w:val="clear" w:color="auto" w:fill="59A9F2" w:themeFill="accent1" w:themeFillTint="99"/>
            <w:vAlign w:val="center"/>
          </w:tcPr>
          <w:p w:rsidR="00A4763D" w:rsidRPr="00DA7217" w:rsidRDefault="00A4763D" w:rsidP="00A4763D">
            <w:pPr>
              <w:spacing w:after="0" w:line="0" w:lineRule="atLeast"/>
              <w:ind w:firstLine="0"/>
              <w:jc w:val="center"/>
              <w:rPr>
                <w:b/>
                <w:color w:val="FFFFFF"/>
                <w:sz w:val="20"/>
              </w:rPr>
            </w:pPr>
            <w:r>
              <w:rPr>
                <w:b/>
                <w:color w:val="FFFFFF"/>
                <w:sz w:val="20"/>
              </w:rPr>
              <w:t>Bloco STN da Fonte</w:t>
            </w:r>
          </w:p>
        </w:tc>
        <w:tc>
          <w:tcPr>
            <w:tcW w:w="1701" w:type="dxa"/>
            <w:shd w:val="clear" w:color="auto" w:fill="59A9F2" w:themeFill="accent1" w:themeFillTint="99"/>
            <w:vAlign w:val="center"/>
          </w:tcPr>
          <w:p w:rsidR="00A4763D" w:rsidRPr="00DA7217" w:rsidRDefault="00A4763D" w:rsidP="00A4763D">
            <w:pPr>
              <w:spacing w:after="0" w:line="0" w:lineRule="atLeast"/>
              <w:ind w:firstLine="0"/>
              <w:jc w:val="center"/>
              <w:rPr>
                <w:b/>
                <w:color w:val="FFFFFF"/>
                <w:sz w:val="20"/>
              </w:rPr>
            </w:pPr>
            <w:r w:rsidRPr="00DA7217">
              <w:rPr>
                <w:b/>
                <w:color w:val="FFFFFF"/>
                <w:sz w:val="20"/>
              </w:rPr>
              <w:t>3.1 – Pessoal e Encargos Sociais</w:t>
            </w:r>
          </w:p>
        </w:tc>
        <w:tc>
          <w:tcPr>
            <w:tcW w:w="1559" w:type="dxa"/>
            <w:shd w:val="clear" w:color="auto" w:fill="59A9F2" w:themeFill="accent1" w:themeFillTint="99"/>
            <w:vAlign w:val="center"/>
          </w:tcPr>
          <w:p w:rsidR="00A4763D" w:rsidRPr="00DA7217" w:rsidRDefault="00A4763D" w:rsidP="00A4763D">
            <w:pPr>
              <w:spacing w:after="0" w:line="0" w:lineRule="atLeast"/>
              <w:ind w:firstLine="0"/>
              <w:jc w:val="center"/>
              <w:rPr>
                <w:b/>
                <w:color w:val="FFFFFF"/>
                <w:sz w:val="20"/>
              </w:rPr>
            </w:pPr>
            <w:r w:rsidRPr="00DA7217">
              <w:rPr>
                <w:b/>
                <w:color w:val="FFFFFF"/>
                <w:sz w:val="20"/>
              </w:rPr>
              <w:t>3 – Outras Despesas Correntes</w:t>
            </w:r>
          </w:p>
        </w:tc>
        <w:tc>
          <w:tcPr>
            <w:tcW w:w="1503" w:type="dxa"/>
            <w:shd w:val="clear" w:color="auto" w:fill="59A9F2" w:themeFill="accent1" w:themeFillTint="99"/>
            <w:vAlign w:val="center"/>
          </w:tcPr>
          <w:p w:rsidR="00A4763D" w:rsidRPr="00DA7217" w:rsidRDefault="00A4763D" w:rsidP="00A4763D">
            <w:pPr>
              <w:spacing w:after="0" w:line="0" w:lineRule="atLeast"/>
              <w:ind w:firstLine="0"/>
              <w:jc w:val="center"/>
              <w:rPr>
                <w:b/>
                <w:color w:val="FFFFFF"/>
                <w:sz w:val="20"/>
              </w:rPr>
            </w:pPr>
            <w:r w:rsidRPr="00DA7217">
              <w:rPr>
                <w:b/>
                <w:color w:val="FFFFFF"/>
                <w:sz w:val="20"/>
              </w:rPr>
              <w:t>4.4 – Investimentos</w:t>
            </w:r>
          </w:p>
        </w:tc>
        <w:tc>
          <w:tcPr>
            <w:tcW w:w="1614" w:type="dxa"/>
            <w:shd w:val="clear" w:color="auto" w:fill="59A9F2" w:themeFill="accent1" w:themeFillTint="99"/>
            <w:vAlign w:val="center"/>
          </w:tcPr>
          <w:p w:rsidR="00A4763D" w:rsidRPr="00DA7217" w:rsidRDefault="00A4763D" w:rsidP="00A4763D">
            <w:pPr>
              <w:spacing w:after="0" w:line="0" w:lineRule="atLeast"/>
              <w:ind w:firstLine="0"/>
              <w:jc w:val="center"/>
              <w:rPr>
                <w:b/>
                <w:color w:val="FFFFFF"/>
                <w:sz w:val="20"/>
              </w:rPr>
            </w:pPr>
            <w:r w:rsidRPr="00DA7217">
              <w:rPr>
                <w:b/>
                <w:color w:val="FFFFFF"/>
                <w:sz w:val="20"/>
              </w:rPr>
              <w:t>Total Geral</w:t>
            </w:r>
          </w:p>
        </w:tc>
      </w:tr>
      <w:tr w:rsidR="00A4763D" w:rsidTr="00C07A5A">
        <w:trPr>
          <w:jc w:val="center"/>
        </w:trPr>
        <w:tc>
          <w:tcPr>
            <w:tcW w:w="1355" w:type="dxa"/>
            <w:shd w:val="clear" w:color="auto" w:fill="auto"/>
            <w:vAlign w:val="center"/>
          </w:tcPr>
          <w:p w:rsidR="00A4763D" w:rsidRPr="00DA7217" w:rsidRDefault="00A4763D" w:rsidP="00A4763D">
            <w:pPr>
              <w:spacing w:after="0" w:line="0" w:lineRule="atLeast"/>
              <w:ind w:firstLine="0"/>
              <w:jc w:val="center"/>
              <w:rPr>
                <w:sz w:val="20"/>
              </w:rPr>
            </w:pPr>
            <w:r>
              <w:rPr>
                <w:sz w:val="20"/>
              </w:rPr>
              <w:t>1.500.</w:t>
            </w:r>
            <w:r w:rsidRPr="00DA7217">
              <w:rPr>
                <w:sz w:val="20"/>
              </w:rPr>
              <w:t>100</w:t>
            </w:r>
          </w:p>
        </w:tc>
        <w:tc>
          <w:tcPr>
            <w:tcW w:w="1906" w:type="dxa"/>
            <w:shd w:val="clear" w:color="auto" w:fill="auto"/>
            <w:vAlign w:val="center"/>
          </w:tcPr>
          <w:p w:rsidR="00A4763D" w:rsidRPr="00A4763D" w:rsidRDefault="00A4763D" w:rsidP="00A4763D">
            <w:pPr>
              <w:spacing w:after="0" w:line="0" w:lineRule="atLeast"/>
              <w:ind w:firstLine="0"/>
              <w:jc w:val="center"/>
              <w:rPr>
                <w:sz w:val="18"/>
              </w:rPr>
            </w:pPr>
            <w:r w:rsidRPr="00A4763D">
              <w:rPr>
                <w:sz w:val="18"/>
              </w:rPr>
              <w:t>Recursos não vinculados de Impostos</w:t>
            </w:r>
          </w:p>
        </w:tc>
        <w:tc>
          <w:tcPr>
            <w:tcW w:w="1701" w:type="dxa"/>
            <w:shd w:val="clear" w:color="auto" w:fill="auto"/>
            <w:vAlign w:val="center"/>
          </w:tcPr>
          <w:p w:rsidR="00A4763D" w:rsidRPr="00DA7217" w:rsidRDefault="00A4763D" w:rsidP="00A4763D">
            <w:pPr>
              <w:spacing w:after="0" w:line="0" w:lineRule="atLeast"/>
              <w:ind w:firstLine="0"/>
              <w:jc w:val="right"/>
              <w:rPr>
                <w:sz w:val="20"/>
              </w:rPr>
            </w:pPr>
            <w:r w:rsidRPr="00DA7217">
              <w:rPr>
                <w:sz w:val="20"/>
              </w:rPr>
              <w:t>336.394.830</w:t>
            </w:r>
            <w:r w:rsidR="00C07A5A">
              <w:rPr>
                <w:sz w:val="20"/>
              </w:rPr>
              <w:t>,00</w:t>
            </w:r>
          </w:p>
        </w:tc>
        <w:tc>
          <w:tcPr>
            <w:tcW w:w="1559" w:type="dxa"/>
            <w:shd w:val="clear" w:color="auto" w:fill="auto"/>
            <w:vAlign w:val="center"/>
          </w:tcPr>
          <w:p w:rsidR="00A4763D" w:rsidRPr="00DA7217" w:rsidRDefault="00A4763D" w:rsidP="00A4763D">
            <w:pPr>
              <w:spacing w:after="0" w:line="0" w:lineRule="atLeast"/>
              <w:ind w:firstLine="0"/>
              <w:jc w:val="right"/>
              <w:rPr>
                <w:sz w:val="20"/>
              </w:rPr>
            </w:pPr>
            <w:r w:rsidRPr="00DA7217">
              <w:rPr>
                <w:sz w:val="20"/>
              </w:rPr>
              <w:t>10.976.242</w:t>
            </w:r>
            <w:r w:rsidR="00C07A5A">
              <w:rPr>
                <w:sz w:val="20"/>
              </w:rPr>
              <w:t>,00</w:t>
            </w:r>
          </w:p>
        </w:tc>
        <w:tc>
          <w:tcPr>
            <w:tcW w:w="1503" w:type="dxa"/>
            <w:shd w:val="clear" w:color="auto" w:fill="auto"/>
            <w:vAlign w:val="center"/>
          </w:tcPr>
          <w:p w:rsidR="00A4763D" w:rsidRPr="00DA7217" w:rsidRDefault="00A4763D" w:rsidP="00A4763D">
            <w:pPr>
              <w:spacing w:after="0" w:line="0" w:lineRule="atLeast"/>
              <w:ind w:firstLine="0"/>
              <w:jc w:val="right"/>
              <w:rPr>
                <w:sz w:val="20"/>
              </w:rPr>
            </w:pPr>
          </w:p>
        </w:tc>
        <w:tc>
          <w:tcPr>
            <w:tcW w:w="1614" w:type="dxa"/>
            <w:shd w:val="clear" w:color="auto" w:fill="auto"/>
            <w:vAlign w:val="center"/>
          </w:tcPr>
          <w:p w:rsidR="00A4763D" w:rsidRPr="00DA7217" w:rsidRDefault="00A4763D" w:rsidP="00A4763D">
            <w:pPr>
              <w:spacing w:after="0" w:line="0" w:lineRule="atLeast"/>
              <w:ind w:firstLine="0"/>
              <w:jc w:val="right"/>
              <w:rPr>
                <w:sz w:val="20"/>
              </w:rPr>
            </w:pPr>
            <w:r w:rsidRPr="00DA7217">
              <w:rPr>
                <w:sz w:val="20"/>
              </w:rPr>
              <w:t>347.371.072</w:t>
            </w:r>
            <w:r w:rsidR="00C07A5A">
              <w:rPr>
                <w:sz w:val="20"/>
              </w:rPr>
              <w:t>,00</w:t>
            </w:r>
          </w:p>
        </w:tc>
      </w:tr>
      <w:tr w:rsidR="00A4763D" w:rsidTr="00C07A5A">
        <w:trPr>
          <w:jc w:val="center"/>
        </w:trPr>
        <w:tc>
          <w:tcPr>
            <w:tcW w:w="1355" w:type="dxa"/>
            <w:shd w:val="clear" w:color="auto" w:fill="auto"/>
            <w:vAlign w:val="center"/>
          </w:tcPr>
          <w:p w:rsidR="00A4763D" w:rsidRPr="00DA7217" w:rsidRDefault="00A4763D" w:rsidP="00A4763D">
            <w:pPr>
              <w:spacing w:after="0" w:line="0" w:lineRule="atLeast"/>
              <w:ind w:firstLine="0"/>
              <w:jc w:val="center"/>
              <w:rPr>
                <w:sz w:val="20"/>
              </w:rPr>
            </w:pPr>
            <w:r>
              <w:rPr>
                <w:sz w:val="20"/>
              </w:rPr>
              <w:t>1.753.1</w:t>
            </w:r>
            <w:r w:rsidRPr="00DA7217">
              <w:rPr>
                <w:sz w:val="20"/>
              </w:rPr>
              <w:t>11</w:t>
            </w:r>
          </w:p>
        </w:tc>
        <w:tc>
          <w:tcPr>
            <w:tcW w:w="1906" w:type="dxa"/>
            <w:shd w:val="clear" w:color="auto" w:fill="auto"/>
            <w:vAlign w:val="center"/>
          </w:tcPr>
          <w:p w:rsidR="00A4763D" w:rsidRPr="00A4763D" w:rsidRDefault="00A4763D" w:rsidP="00A4763D">
            <w:pPr>
              <w:spacing w:after="0" w:line="0" w:lineRule="atLeast"/>
              <w:ind w:firstLine="0"/>
              <w:jc w:val="center"/>
              <w:rPr>
                <w:sz w:val="18"/>
              </w:rPr>
            </w:pPr>
            <w:r w:rsidRPr="00A4763D">
              <w:rPr>
                <w:sz w:val="18"/>
              </w:rPr>
              <w:t>Recursos de Taxas, Contribuições e Preços Públicos</w:t>
            </w:r>
          </w:p>
        </w:tc>
        <w:tc>
          <w:tcPr>
            <w:tcW w:w="1701" w:type="dxa"/>
            <w:shd w:val="clear" w:color="auto" w:fill="auto"/>
            <w:vAlign w:val="center"/>
          </w:tcPr>
          <w:p w:rsidR="00A4763D" w:rsidRPr="00DA7217" w:rsidRDefault="00A4763D" w:rsidP="00A4763D">
            <w:pPr>
              <w:spacing w:after="0" w:line="0" w:lineRule="atLeast"/>
              <w:ind w:firstLine="0"/>
              <w:jc w:val="right"/>
              <w:rPr>
                <w:sz w:val="20"/>
              </w:rPr>
            </w:pPr>
            <w:r w:rsidRPr="00DA7217">
              <w:rPr>
                <w:sz w:val="20"/>
              </w:rPr>
              <w:t>19.808.769</w:t>
            </w:r>
            <w:r w:rsidR="00C07A5A">
              <w:rPr>
                <w:sz w:val="20"/>
              </w:rPr>
              <w:t>,00</w:t>
            </w:r>
          </w:p>
        </w:tc>
        <w:tc>
          <w:tcPr>
            <w:tcW w:w="1559" w:type="dxa"/>
            <w:shd w:val="clear" w:color="auto" w:fill="auto"/>
            <w:vAlign w:val="center"/>
          </w:tcPr>
          <w:p w:rsidR="00A4763D" w:rsidRPr="00DA7217" w:rsidRDefault="00A4763D" w:rsidP="00A4763D">
            <w:pPr>
              <w:spacing w:after="0" w:line="0" w:lineRule="atLeast"/>
              <w:ind w:firstLine="0"/>
              <w:jc w:val="right"/>
              <w:rPr>
                <w:sz w:val="20"/>
              </w:rPr>
            </w:pPr>
            <w:r w:rsidRPr="00DA7217">
              <w:rPr>
                <w:sz w:val="20"/>
              </w:rPr>
              <w:t>72.750.958</w:t>
            </w:r>
            <w:r w:rsidR="00C07A5A">
              <w:rPr>
                <w:sz w:val="20"/>
              </w:rPr>
              <w:t>,00</w:t>
            </w:r>
          </w:p>
        </w:tc>
        <w:tc>
          <w:tcPr>
            <w:tcW w:w="1503" w:type="dxa"/>
            <w:shd w:val="clear" w:color="auto" w:fill="auto"/>
            <w:vAlign w:val="center"/>
          </w:tcPr>
          <w:p w:rsidR="00A4763D" w:rsidRPr="00DA7217" w:rsidRDefault="00A4763D" w:rsidP="00A4763D">
            <w:pPr>
              <w:spacing w:after="0" w:line="0" w:lineRule="atLeast"/>
              <w:ind w:firstLine="0"/>
              <w:jc w:val="right"/>
              <w:rPr>
                <w:sz w:val="20"/>
              </w:rPr>
            </w:pPr>
            <w:r w:rsidRPr="00DA7217">
              <w:rPr>
                <w:sz w:val="20"/>
              </w:rPr>
              <w:t>302.401</w:t>
            </w:r>
            <w:r w:rsidR="00C07A5A">
              <w:rPr>
                <w:sz w:val="20"/>
              </w:rPr>
              <w:t>,00</w:t>
            </w:r>
          </w:p>
        </w:tc>
        <w:tc>
          <w:tcPr>
            <w:tcW w:w="1614" w:type="dxa"/>
            <w:shd w:val="clear" w:color="auto" w:fill="auto"/>
            <w:vAlign w:val="center"/>
          </w:tcPr>
          <w:p w:rsidR="00A4763D" w:rsidRPr="00DA7217" w:rsidRDefault="00A4763D" w:rsidP="00A4763D">
            <w:pPr>
              <w:spacing w:after="0" w:line="0" w:lineRule="atLeast"/>
              <w:ind w:firstLine="0"/>
              <w:jc w:val="right"/>
              <w:rPr>
                <w:sz w:val="20"/>
              </w:rPr>
            </w:pPr>
            <w:r w:rsidRPr="00DA7217">
              <w:rPr>
                <w:sz w:val="20"/>
              </w:rPr>
              <w:t>92.862.128</w:t>
            </w:r>
            <w:r w:rsidR="00C07A5A">
              <w:rPr>
                <w:sz w:val="20"/>
              </w:rPr>
              <w:t>,00</w:t>
            </w:r>
          </w:p>
        </w:tc>
      </w:tr>
      <w:tr w:rsidR="00A4763D" w:rsidTr="00C07A5A">
        <w:trPr>
          <w:jc w:val="center"/>
        </w:trPr>
        <w:tc>
          <w:tcPr>
            <w:tcW w:w="1355" w:type="dxa"/>
            <w:shd w:val="clear" w:color="auto" w:fill="auto"/>
            <w:vAlign w:val="center"/>
          </w:tcPr>
          <w:p w:rsidR="00A4763D" w:rsidRPr="00DA7217" w:rsidRDefault="00A4763D" w:rsidP="00A4763D">
            <w:pPr>
              <w:spacing w:after="0" w:line="0" w:lineRule="atLeast"/>
              <w:ind w:firstLine="0"/>
              <w:jc w:val="center"/>
              <w:rPr>
                <w:sz w:val="20"/>
              </w:rPr>
            </w:pPr>
            <w:r>
              <w:rPr>
                <w:sz w:val="20"/>
              </w:rPr>
              <w:t>1.899.1</w:t>
            </w:r>
            <w:r w:rsidRPr="00DA7217">
              <w:rPr>
                <w:sz w:val="20"/>
              </w:rPr>
              <w:t>60</w:t>
            </w:r>
          </w:p>
        </w:tc>
        <w:tc>
          <w:tcPr>
            <w:tcW w:w="1906" w:type="dxa"/>
            <w:shd w:val="clear" w:color="auto" w:fill="auto"/>
            <w:vAlign w:val="center"/>
          </w:tcPr>
          <w:p w:rsidR="00A4763D" w:rsidRPr="00A4763D" w:rsidRDefault="00A4763D" w:rsidP="00A4763D">
            <w:pPr>
              <w:spacing w:after="0" w:line="0" w:lineRule="atLeast"/>
              <w:ind w:firstLine="0"/>
              <w:jc w:val="center"/>
              <w:rPr>
                <w:sz w:val="18"/>
              </w:rPr>
            </w:pPr>
            <w:r w:rsidRPr="00A4763D">
              <w:rPr>
                <w:sz w:val="18"/>
              </w:rPr>
              <w:t>Outros Recursos Vinculados</w:t>
            </w:r>
          </w:p>
        </w:tc>
        <w:tc>
          <w:tcPr>
            <w:tcW w:w="1701" w:type="dxa"/>
            <w:shd w:val="clear" w:color="auto" w:fill="auto"/>
            <w:vAlign w:val="center"/>
          </w:tcPr>
          <w:p w:rsidR="00A4763D" w:rsidRPr="00DA7217" w:rsidRDefault="00A4763D" w:rsidP="00A4763D">
            <w:pPr>
              <w:spacing w:after="0" w:line="0" w:lineRule="atLeast"/>
              <w:ind w:firstLine="0"/>
              <w:jc w:val="right"/>
              <w:rPr>
                <w:sz w:val="20"/>
              </w:rPr>
            </w:pPr>
            <w:r w:rsidRPr="00DA7217">
              <w:rPr>
                <w:sz w:val="20"/>
              </w:rPr>
              <w:t>27.937.829</w:t>
            </w:r>
            <w:r w:rsidR="00C07A5A">
              <w:rPr>
                <w:sz w:val="20"/>
              </w:rPr>
              <w:t>,00</w:t>
            </w:r>
          </w:p>
        </w:tc>
        <w:tc>
          <w:tcPr>
            <w:tcW w:w="1559" w:type="dxa"/>
            <w:shd w:val="clear" w:color="auto" w:fill="auto"/>
            <w:vAlign w:val="center"/>
          </w:tcPr>
          <w:p w:rsidR="00A4763D" w:rsidRPr="00DA7217" w:rsidRDefault="00A4763D" w:rsidP="00A4763D">
            <w:pPr>
              <w:spacing w:after="0" w:line="0" w:lineRule="atLeast"/>
              <w:ind w:firstLine="0"/>
              <w:jc w:val="right"/>
              <w:rPr>
                <w:sz w:val="20"/>
              </w:rPr>
            </w:pPr>
          </w:p>
        </w:tc>
        <w:tc>
          <w:tcPr>
            <w:tcW w:w="1503" w:type="dxa"/>
            <w:shd w:val="clear" w:color="auto" w:fill="auto"/>
            <w:vAlign w:val="center"/>
          </w:tcPr>
          <w:p w:rsidR="00A4763D" w:rsidRPr="00DA7217" w:rsidRDefault="00A4763D" w:rsidP="00A4763D">
            <w:pPr>
              <w:spacing w:after="0" w:line="0" w:lineRule="atLeast"/>
              <w:ind w:firstLine="0"/>
              <w:jc w:val="right"/>
              <w:rPr>
                <w:sz w:val="20"/>
              </w:rPr>
            </w:pPr>
          </w:p>
        </w:tc>
        <w:tc>
          <w:tcPr>
            <w:tcW w:w="1614" w:type="dxa"/>
            <w:shd w:val="clear" w:color="auto" w:fill="auto"/>
            <w:vAlign w:val="center"/>
          </w:tcPr>
          <w:p w:rsidR="00A4763D" w:rsidRPr="00DA7217" w:rsidRDefault="00A4763D" w:rsidP="00A4763D">
            <w:pPr>
              <w:spacing w:after="0" w:line="0" w:lineRule="atLeast"/>
              <w:ind w:firstLine="0"/>
              <w:jc w:val="right"/>
              <w:rPr>
                <w:sz w:val="20"/>
              </w:rPr>
            </w:pPr>
            <w:r w:rsidRPr="00DA7217">
              <w:rPr>
                <w:sz w:val="20"/>
              </w:rPr>
              <w:t>27.937.829</w:t>
            </w:r>
            <w:r w:rsidR="00C07A5A">
              <w:rPr>
                <w:sz w:val="20"/>
              </w:rPr>
              <w:t>,00</w:t>
            </w:r>
          </w:p>
        </w:tc>
      </w:tr>
      <w:tr w:rsidR="00A4763D" w:rsidTr="00C07A5A">
        <w:trPr>
          <w:jc w:val="center"/>
        </w:trPr>
        <w:tc>
          <w:tcPr>
            <w:tcW w:w="1355" w:type="dxa"/>
            <w:shd w:val="clear" w:color="auto" w:fill="auto"/>
            <w:vAlign w:val="center"/>
          </w:tcPr>
          <w:p w:rsidR="00A4763D" w:rsidRPr="00DA7217" w:rsidRDefault="00A4763D" w:rsidP="00A4763D">
            <w:pPr>
              <w:spacing w:after="0" w:line="0" w:lineRule="atLeast"/>
              <w:ind w:firstLine="0"/>
              <w:jc w:val="center"/>
              <w:rPr>
                <w:sz w:val="20"/>
              </w:rPr>
            </w:pPr>
            <w:r>
              <w:rPr>
                <w:sz w:val="20"/>
              </w:rPr>
              <w:t>1.501</w:t>
            </w:r>
            <w:r w:rsidRPr="00DA7217">
              <w:rPr>
                <w:sz w:val="20"/>
              </w:rPr>
              <w:t>.269</w:t>
            </w:r>
          </w:p>
        </w:tc>
        <w:tc>
          <w:tcPr>
            <w:tcW w:w="1906" w:type="dxa"/>
            <w:shd w:val="clear" w:color="auto" w:fill="auto"/>
            <w:vAlign w:val="center"/>
          </w:tcPr>
          <w:p w:rsidR="00A4763D" w:rsidRPr="00A4763D" w:rsidRDefault="00A4763D" w:rsidP="00A4763D">
            <w:pPr>
              <w:spacing w:after="0" w:line="0" w:lineRule="atLeast"/>
              <w:ind w:firstLine="0"/>
              <w:jc w:val="center"/>
              <w:rPr>
                <w:sz w:val="18"/>
              </w:rPr>
            </w:pPr>
            <w:r w:rsidRPr="00A4763D">
              <w:rPr>
                <w:sz w:val="18"/>
              </w:rPr>
              <w:t>Outros Recursos não Vinculados</w:t>
            </w:r>
          </w:p>
        </w:tc>
        <w:tc>
          <w:tcPr>
            <w:tcW w:w="1701" w:type="dxa"/>
            <w:shd w:val="clear" w:color="auto" w:fill="auto"/>
            <w:vAlign w:val="center"/>
          </w:tcPr>
          <w:p w:rsidR="00A4763D" w:rsidRPr="00DA7217" w:rsidRDefault="00A4763D" w:rsidP="00A4763D">
            <w:pPr>
              <w:spacing w:after="0" w:line="0" w:lineRule="atLeast"/>
              <w:ind w:firstLine="0"/>
              <w:jc w:val="right"/>
              <w:rPr>
                <w:sz w:val="20"/>
              </w:rPr>
            </w:pPr>
          </w:p>
        </w:tc>
        <w:tc>
          <w:tcPr>
            <w:tcW w:w="1559" w:type="dxa"/>
            <w:shd w:val="clear" w:color="auto" w:fill="auto"/>
            <w:vAlign w:val="center"/>
          </w:tcPr>
          <w:p w:rsidR="00A4763D" w:rsidRPr="00DA7217" w:rsidRDefault="00A4763D" w:rsidP="00A4763D">
            <w:pPr>
              <w:spacing w:after="0" w:line="0" w:lineRule="atLeast"/>
              <w:ind w:firstLine="0"/>
              <w:jc w:val="right"/>
              <w:rPr>
                <w:sz w:val="20"/>
              </w:rPr>
            </w:pPr>
            <w:r w:rsidRPr="00DA7217">
              <w:rPr>
                <w:sz w:val="20"/>
              </w:rPr>
              <w:t>378</w:t>
            </w:r>
            <w:r w:rsidR="00C07A5A">
              <w:rPr>
                <w:sz w:val="20"/>
              </w:rPr>
              <w:t>,00</w:t>
            </w:r>
          </w:p>
        </w:tc>
        <w:tc>
          <w:tcPr>
            <w:tcW w:w="1503" w:type="dxa"/>
            <w:shd w:val="clear" w:color="auto" w:fill="auto"/>
            <w:vAlign w:val="center"/>
          </w:tcPr>
          <w:p w:rsidR="00A4763D" w:rsidRPr="00DA7217" w:rsidRDefault="00A4763D" w:rsidP="00A4763D">
            <w:pPr>
              <w:spacing w:after="0" w:line="0" w:lineRule="atLeast"/>
              <w:ind w:firstLine="0"/>
              <w:jc w:val="right"/>
              <w:rPr>
                <w:sz w:val="20"/>
              </w:rPr>
            </w:pPr>
            <w:r w:rsidRPr="00DA7217">
              <w:rPr>
                <w:sz w:val="20"/>
              </w:rPr>
              <w:t>108.716</w:t>
            </w:r>
            <w:r w:rsidR="00C07A5A">
              <w:rPr>
                <w:sz w:val="20"/>
              </w:rPr>
              <w:t>,00</w:t>
            </w:r>
          </w:p>
        </w:tc>
        <w:tc>
          <w:tcPr>
            <w:tcW w:w="1614" w:type="dxa"/>
            <w:shd w:val="clear" w:color="auto" w:fill="auto"/>
            <w:vAlign w:val="center"/>
          </w:tcPr>
          <w:p w:rsidR="00A4763D" w:rsidRPr="00DA7217" w:rsidRDefault="00A4763D" w:rsidP="00A4763D">
            <w:pPr>
              <w:spacing w:after="0" w:line="0" w:lineRule="atLeast"/>
              <w:ind w:firstLine="0"/>
              <w:jc w:val="right"/>
              <w:rPr>
                <w:sz w:val="20"/>
              </w:rPr>
            </w:pPr>
            <w:r w:rsidRPr="00DA7217">
              <w:rPr>
                <w:sz w:val="20"/>
              </w:rPr>
              <w:t>109.094</w:t>
            </w:r>
            <w:r w:rsidR="00C07A5A">
              <w:rPr>
                <w:sz w:val="20"/>
              </w:rPr>
              <w:t>,00</w:t>
            </w:r>
          </w:p>
        </w:tc>
      </w:tr>
      <w:tr w:rsidR="00A4763D" w:rsidTr="00C07A5A">
        <w:trPr>
          <w:jc w:val="center"/>
        </w:trPr>
        <w:tc>
          <w:tcPr>
            <w:tcW w:w="1355" w:type="dxa"/>
            <w:shd w:val="clear" w:color="auto" w:fill="auto"/>
            <w:vAlign w:val="center"/>
          </w:tcPr>
          <w:p w:rsidR="00A4763D" w:rsidRPr="00DA7217" w:rsidRDefault="00A4763D" w:rsidP="00A4763D">
            <w:pPr>
              <w:spacing w:after="0" w:line="0" w:lineRule="atLeast"/>
              <w:ind w:firstLine="0"/>
              <w:jc w:val="center"/>
              <w:rPr>
                <w:sz w:val="20"/>
              </w:rPr>
            </w:pPr>
            <w:r>
              <w:rPr>
                <w:sz w:val="20"/>
              </w:rPr>
              <w:t>1.799.</w:t>
            </w:r>
            <w:r w:rsidRPr="00DA7217">
              <w:rPr>
                <w:sz w:val="20"/>
              </w:rPr>
              <w:t>285</w:t>
            </w:r>
          </w:p>
        </w:tc>
        <w:tc>
          <w:tcPr>
            <w:tcW w:w="1906" w:type="dxa"/>
            <w:shd w:val="clear" w:color="auto" w:fill="auto"/>
            <w:vAlign w:val="center"/>
          </w:tcPr>
          <w:p w:rsidR="00A4763D" w:rsidRPr="00A4763D" w:rsidRDefault="00A4763D" w:rsidP="00A4763D">
            <w:pPr>
              <w:spacing w:after="0" w:line="0" w:lineRule="atLeast"/>
              <w:ind w:firstLine="0"/>
              <w:jc w:val="center"/>
              <w:rPr>
                <w:sz w:val="18"/>
              </w:rPr>
            </w:pPr>
            <w:r w:rsidRPr="00A4763D">
              <w:rPr>
                <w:sz w:val="18"/>
              </w:rPr>
              <w:t>Outras vinculações legais</w:t>
            </w:r>
          </w:p>
        </w:tc>
        <w:tc>
          <w:tcPr>
            <w:tcW w:w="1701" w:type="dxa"/>
            <w:shd w:val="clear" w:color="auto" w:fill="auto"/>
            <w:vAlign w:val="center"/>
          </w:tcPr>
          <w:p w:rsidR="00A4763D" w:rsidRPr="00DA7217" w:rsidRDefault="00A4763D" w:rsidP="00A4763D">
            <w:pPr>
              <w:spacing w:after="0" w:line="0" w:lineRule="atLeast"/>
              <w:ind w:firstLine="0"/>
              <w:jc w:val="right"/>
              <w:rPr>
                <w:sz w:val="20"/>
              </w:rPr>
            </w:pPr>
          </w:p>
        </w:tc>
        <w:tc>
          <w:tcPr>
            <w:tcW w:w="1559" w:type="dxa"/>
            <w:shd w:val="clear" w:color="auto" w:fill="auto"/>
            <w:vAlign w:val="center"/>
          </w:tcPr>
          <w:p w:rsidR="00A4763D" w:rsidRPr="00DA7217" w:rsidRDefault="00A4763D" w:rsidP="00A4763D">
            <w:pPr>
              <w:spacing w:after="0" w:line="0" w:lineRule="atLeast"/>
              <w:ind w:firstLine="0"/>
              <w:jc w:val="right"/>
              <w:rPr>
                <w:sz w:val="20"/>
              </w:rPr>
            </w:pPr>
            <w:r w:rsidRPr="00DA7217">
              <w:rPr>
                <w:sz w:val="20"/>
              </w:rPr>
              <w:t>1.087</w:t>
            </w:r>
            <w:r w:rsidR="00C07A5A">
              <w:rPr>
                <w:sz w:val="20"/>
              </w:rPr>
              <w:t>,00</w:t>
            </w:r>
          </w:p>
        </w:tc>
        <w:tc>
          <w:tcPr>
            <w:tcW w:w="1503" w:type="dxa"/>
            <w:shd w:val="clear" w:color="auto" w:fill="auto"/>
            <w:vAlign w:val="center"/>
          </w:tcPr>
          <w:p w:rsidR="00A4763D" w:rsidRPr="00DA7217" w:rsidRDefault="00A4763D" w:rsidP="00A4763D">
            <w:pPr>
              <w:spacing w:after="0" w:line="0" w:lineRule="atLeast"/>
              <w:ind w:firstLine="0"/>
              <w:jc w:val="right"/>
              <w:rPr>
                <w:sz w:val="20"/>
              </w:rPr>
            </w:pPr>
            <w:r w:rsidRPr="00DA7217">
              <w:rPr>
                <w:sz w:val="20"/>
              </w:rPr>
              <w:t>1.573</w:t>
            </w:r>
            <w:r w:rsidR="00C07A5A">
              <w:rPr>
                <w:sz w:val="20"/>
              </w:rPr>
              <w:t>,00</w:t>
            </w:r>
          </w:p>
        </w:tc>
        <w:tc>
          <w:tcPr>
            <w:tcW w:w="1614" w:type="dxa"/>
            <w:shd w:val="clear" w:color="auto" w:fill="auto"/>
            <w:vAlign w:val="center"/>
          </w:tcPr>
          <w:p w:rsidR="00A4763D" w:rsidRPr="00DA7217" w:rsidRDefault="00A4763D" w:rsidP="00A4763D">
            <w:pPr>
              <w:spacing w:after="0" w:line="0" w:lineRule="atLeast"/>
              <w:ind w:firstLine="0"/>
              <w:jc w:val="right"/>
              <w:rPr>
                <w:sz w:val="20"/>
              </w:rPr>
            </w:pPr>
            <w:r w:rsidRPr="00DA7217">
              <w:rPr>
                <w:sz w:val="20"/>
              </w:rPr>
              <w:t>2.660</w:t>
            </w:r>
            <w:r w:rsidR="00C07A5A">
              <w:rPr>
                <w:sz w:val="20"/>
              </w:rPr>
              <w:t>,00</w:t>
            </w:r>
          </w:p>
        </w:tc>
      </w:tr>
      <w:tr w:rsidR="00A4763D" w:rsidTr="00C07A5A">
        <w:trPr>
          <w:jc w:val="center"/>
        </w:trPr>
        <w:tc>
          <w:tcPr>
            <w:tcW w:w="1355" w:type="dxa"/>
            <w:shd w:val="clear" w:color="auto" w:fill="59A9F2" w:themeFill="accent1" w:themeFillTint="99"/>
            <w:vAlign w:val="center"/>
          </w:tcPr>
          <w:p w:rsidR="00A4763D" w:rsidRPr="00DA7217" w:rsidRDefault="00A4763D" w:rsidP="00A4763D">
            <w:pPr>
              <w:spacing w:after="0" w:line="0" w:lineRule="atLeast"/>
              <w:ind w:firstLine="0"/>
              <w:jc w:val="center"/>
              <w:rPr>
                <w:b/>
                <w:color w:val="FFFFFF"/>
                <w:sz w:val="20"/>
              </w:rPr>
            </w:pPr>
            <w:r w:rsidRPr="00DA7217">
              <w:rPr>
                <w:b/>
                <w:color w:val="FFFFFF"/>
                <w:sz w:val="20"/>
              </w:rPr>
              <w:t>Total Geral</w:t>
            </w:r>
          </w:p>
        </w:tc>
        <w:tc>
          <w:tcPr>
            <w:tcW w:w="1906" w:type="dxa"/>
            <w:shd w:val="clear" w:color="auto" w:fill="59A9F2" w:themeFill="accent1" w:themeFillTint="99"/>
            <w:vAlign w:val="center"/>
          </w:tcPr>
          <w:p w:rsidR="00A4763D" w:rsidRPr="00DA7217" w:rsidRDefault="00A4763D" w:rsidP="00A4763D">
            <w:pPr>
              <w:spacing w:after="0" w:line="0" w:lineRule="atLeast"/>
              <w:ind w:firstLine="0"/>
              <w:jc w:val="center"/>
              <w:rPr>
                <w:b/>
                <w:color w:val="FFFFFF"/>
                <w:sz w:val="20"/>
              </w:rPr>
            </w:pPr>
          </w:p>
        </w:tc>
        <w:tc>
          <w:tcPr>
            <w:tcW w:w="1701" w:type="dxa"/>
            <w:shd w:val="clear" w:color="auto" w:fill="59A9F2" w:themeFill="accent1" w:themeFillTint="99"/>
            <w:vAlign w:val="center"/>
          </w:tcPr>
          <w:p w:rsidR="00A4763D" w:rsidRPr="00DA7217" w:rsidRDefault="00A4763D" w:rsidP="00A4763D">
            <w:pPr>
              <w:spacing w:after="0" w:line="0" w:lineRule="atLeast"/>
              <w:ind w:firstLine="0"/>
              <w:jc w:val="right"/>
              <w:rPr>
                <w:b/>
                <w:color w:val="FFFFFF"/>
                <w:sz w:val="20"/>
              </w:rPr>
            </w:pPr>
            <w:r w:rsidRPr="00DA7217">
              <w:rPr>
                <w:b/>
                <w:color w:val="FFFFFF"/>
                <w:sz w:val="20"/>
              </w:rPr>
              <w:t>384.141.428</w:t>
            </w:r>
          </w:p>
        </w:tc>
        <w:tc>
          <w:tcPr>
            <w:tcW w:w="1559" w:type="dxa"/>
            <w:shd w:val="clear" w:color="auto" w:fill="59A9F2" w:themeFill="accent1" w:themeFillTint="99"/>
            <w:vAlign w:val="center"/>
          </w:tcPr>
          <w:p w:rsidR="00A4763D" w:rsidRPr="00DA7217" w:rsidRDefault="00A4763D" w:rsidP="00A4763D">
            <w:pPr>
              <w:spacing w:after="0" w:line="0" w:lineRule="atLeast"/>
              <w:ind w:firstLine="0"/>
              <w:jc w:val="right"/>
              <w:rPr>
                <w:b/>
                <w:color w:val="FFFFFF"/>
                <w:sz w:val="20"/>
              </w:rPr>
            </w:pPr>
            <w:r w:rsidRPr="00DA7217">
              <w:rPr>
                <w:b/>
                <w:color w:val="FFFFFF"/>
                <w:sz w:val="20"/>
              </w:rPr>
              <w:t>83.728.665</w:t>
            </w:r>
          </w:p>
        </w:tc>
        <w:tc>
          <w:tcPr>
            <w:tcW w:w="1503" w:type="dxa"/>
            <w:shd w:val="clear" w:color="auto" w:fill="59A9F2" w:themeFill="accent1" w:themeFillTint="99"/>
            <w:vAlign w:val="center"/>
          </w:tcPr>
          <w:p w:rsidR="00A4763D" w:rsidRPr="00DA7217" w:rsidRDefault="00A4763D" w:rsidP="00A4763D">
            <w:pPr>
              <w:spacing w:after="0" w:line="0" w:lineRule="atLeast"/>
              <w:ind w:firstLine="0"/>
              <w:jc w:val="right"/>
              <w:rPr>
                <w:b/>
                <w:color w:val="FFFFFF"/>
                <w:sz w:val="20"/>
              </w:rPr>
            </w:pPr>
            <w:r w:rsidRPr="00DA7217">
              <w:rPr>
                <w:b/>
                <w:color w:val="FFFFFF"/>
                <w:sz w:val="20"/>
              </w:rPr>
              <w:t>412.690</w:t>
            </w:r>
          </w:p>
        </w:tc>
        <w:tc>
          <w:tcPr>
            <w:tcW w:w="1614" w:type="dxa"/>
            <w:shd w:val="clear" w:color="auto" w:fill="59A9F2" w:themeFill="accent1" w:themeFillTint="99"/>
            <w:vAlign w:val="center"/>
          </w:tcPr>
          <w:p w:rsidR="00A4763D" w:rsidRPr="00DA7217" w:rsidRDefault="00A4763D" w:rsidP="00A4763D">
            <w:pPr>
              <w:spacing w:after="0" w:line="0" w:lineRule="atLeast"/>
              <w:ind w:firstLine="0"/>
              <w:jc w:val="right"/>
              <w:rPr>
                <w:b/>
                <w:color w:val="FFFFFF"/>
                <w:sz w:val="20"/>
              </w:rPr>
            </w:pPr>
            <w:r w:rsidRPr="00DA7217">
              <w:rPr>
                <w:b/>
                <w:color w:val="FFFFFF"/>
                <w:sz w:val="20"/>
              </w:rPr>
              <w:t>468.282.783</w:t>
            </w:r>
          </w:p>
        </w:tc>
      </w:tr>
    </w:tbl>
    <w:p w:rsidR="009C732E" w:rsidRDefault="009C732E" w:rsidP="00DA7217"/>
    <w:p w:rsidR="00DA7217" w:rsidRPr="00DA7217" w:rsidRDefault="00DA7217" w:rsidP="00DA7217">
      <w:r w:rsidRPr="00DA7217">
        <w:t>As cotas são elaboradas pelo Órgão Central do Sistema de Planejamento e Orçamento com base nos valores pagos nos exercícios anteriores:</w:t>
      </w:r>
    </w:p>
    <w:p w:rsidR="00DA7217" w:rsidRDefault="0018477E" w:rsidP="00DA7217">
      <w:r w:rsidRPr="002B4889">
        <w:rPr>
          <w:b/>
          <w:color w:val="0F6FC6" w:themeColor="accent1"/>
        </w:rPr>
        <w:t>•</w:t>
      </w:r>
      <w:r w:rsidR="00DA7217" w:rsidRPr="002B4889">
        <w:rPr>
          <w:b/>
          <w:color w:val="0F6FC6" w:themeColor="accent1"/>
        </w:rPr>
        <w:t>GND 3.1 – Pessoal e Encargos Sociais:</w:t>
      </w:r>
      <w:r w:rsidR="00DA7217" w:rsidRPr="002B4889">
        <w:rPr>
          <w:color w:val="0F6FC6" w:themeColor="accent1"/>
        </w:rPr>
        <w:t xml:space="preserve"> </w:t>
      </w:r>
      <w:r w:rsidR="00DA7217" w:rsidRPr="00DA7217">
        <w:t>serão projetadas com base no crescimento vegetativo da folha; nas informações de contribuições previdenciárias e do plano de saúde dos servidores e empregados do Estado de Santa Catarina; e nas informações do Órgão Central de Gestão de Pessoas (Secretaria de Estado da Administração) sobre a implementação ou alteração das estruturas de cargos, carreira e remuneração dos servidores da administração Pública Estadual, aprovadas em lei, e sobre a previsão de preenchimento de cargos comissionados e efetivos, em conformidade com a LDO de 202</w:t>
      </w:r>
      <w:r w:rsidR="00320BB6">
        <w:t>4</w:t>
      </w:r>
      <w:r w:rsidR="00DA7217" w:rsidRPr="00DA7217">
        <w:t>, e serão ajustadas, se necessário, pelo próprio Órgão Central do Sistema de Planejamento e Orçamento;</w:t>
      </w:r>
    </w:p>
    <w:p w:rsidR="00DA7217" w:rsidRPr="00B77DF5" w:rsidRDefault="0018477E" w:rsidP="00DA7217">
      <w:pPr>
        <w:rPr>
          <w:color w:val="FF0000"/>
        </w:rPr>
      </w:pPr>
      <w:r w:rsidRPr="002B4889">
        <w:rPr>
          <w:b/>
          <w:color w:val="0F6FC6" w:themeColor="accent1"/>
        </w:rPr>
        <w:t>•</w:t>
      </w:r>
      <w:r w:rsidR="00DA7217" w:rsidRPr="006700CF">
        <w:rPr>
          <w:b/>
          <w:color w:val="0F6FC6" w:themeColor="accent1"/>
        </w:rPr>
        <w:t>GND 3.3 – Outras Despesas Correntes</w:t>
      </w:r>
      <w:r w:rsidR="00DA7217" w:rsidRPr="006700CF">
        <w:rPr>
          <w:b/>
        </w:rPr>
        <w:t>:</w:t>
      </w:r>
      <w:r w:rsidR="00DA7217" w:rsidRPr="006700CF">
        <w:t xml:space="preserve"> a projeção desse grupo de despesas terá como base as despesas de mesma natureza do ano de 202</w:t>
      </w:r>
      <w:r w:rsidR="006700CF" w:rsidRPr="006700CF">
        <w:t>2</w:t>
      </w:r>
      <w:r w:rsidR="00DA7217" w:rsidRPr="006700CF">
        <w:t>, reajustadas pelo índice oficial de inflação acumulado de 202</w:t>
      </w:r>
      <w:r w:rsidR="00781C49" w:rsidRPr="006700CF">
        <w:t>2</w:t>
      </w:r>
      <w:r w:rsidR="00DA7217" w:rsidRPr="006700CF">
        <w:t xml:space="preserve"> e 202</w:t>
      </w:r>
      <w:r w:rsidR="00781C49" w:rsidRPr="006700CF">
        <w:t>3</w:t>
      </w:r>
      <w:r w:rsidR="00DA7217" w:rsidRPr="006700CF">
        <w:t>, sofrendo redução para compensar eventual aumento de folha de pagamento que extrapole este índice oficial acumulado de inflação, em conformidade com a LDO de 202</w:t>
      </w:r>
      <w:r w:rsidR="00E445F2" w:rsidRPr="006700CF">
        <w:t>4</w:t>
      </w:r>
      <w:r w:rsidR="00DA7217" w:rsidRPr="006700CF">
        <w:t>;</w:t>
      </w:r>
    </w:p>
    <w:p w:rsidR="00DA7217" w:rsidRDefault="0018477E" w:rsidP="00DA7217">
      <w:r w:rsidRPr="002B4889">
        <w:rPr>
          <w:b/>
          <w:color w:val="0F6FC6" w:themeColor="accent1"/>
        </w:rPr>
        <w:t>•</w:t>
      </w:r>
      <w:r w:rsidR="00DA7217" w:rsidRPr="002B4889">
        <w:rPr>
          <w:b/>
          <w:color w:val="0F6FC6" w:themeColor="accent1"/>
        </w:rPr>
        <w:t>GND 4.4 – Investimentos; e GND 4.5 – Inversões Financeiras:</w:t>
      </w:r>
      <w:r w:rsidR="00DA7217" w:rsidRPr="002B4889">
        <w:rPr>
          <w:color w:val="0F6FC6" w:themeColor="accent1"/>
        </w:rPr>
        <w:t xml:space="preserve"> </w:t>
      </w:r>
      <w:r w:rsidR="00DA7217" w:rsidRPr="00DA7217">
        <w:t>as despesas com investimentos e inversões financeiras serão projetadas com base nas receitas de capital estimadas para o exercício e na disponibilidade de recursos correntes vinculados para aplicação em despesas nessas naturezas, em consonância com a LDO de 202</w:t>
      </w:r>
      <w:r w:rsidR="00320BB6">
        <w:t>4</w:t>
      </w:r>
      <w:r w:rsidR="00DA7217" w:rsidRPr="00DA7217">
        <w:t xml:space="preserve">.  Nas Fontes de Recursos vinculadas às receitas correntes poderão ser alocados investimentos caso existam saldos positivos resultantes da diferença entre as receitas correntes e as despesas dos </w:t>
      </w:r>
      <w:proofErr w:type="spellStart"/>
      <w:r w:rsidR="00DA7217" w:rsidRPr="00DA7217">
        <w:t>GNDs</w:t>
      </w:r>
      <w:proofErr w:type="spellEnd"/>
      <w:r w:rsidR="00DA7217" w:rsidRPr="00DA7217">
        <w:t xml:space="preserve"> 3.1 e 3.3.</w:t>
      </w:r>
    </w:p>
    <w:p w:rsidR="00DA7217" w:rsidRDefault="00DA7217" w:rsidP="00DA7217"/>
    <w:p w:rsidR="00DA7217" w:rsidRDefault="002B4889" w:rsidP="00DA7217">
      <w:r>
        <w:rPr>
          <w:noProof/>
          <w:lang w:eastAsia="pt-BR"/>
        </w:rPr>
        <w:drawing>
          <wp:anchor distT="0" distB="0" distL="114300" distR="114300" simplePos="0" relativeHeight="251999232" behindDoc="1" locked="0" layoutInCell="1" allowOverlap="1" wp14:anchorId="5D5ECAF1" wp14:editId="189C726B">
            <wp:simplePos x="0" y="0"/>
            <wp:positionH relativeFrom="column">
              <wp:posOffset>4677410</wp:posOffset>
            </wp:positionH>
            <wp:positionV relativeFrom="paragraph">
              <wp:posOffset>132080</wp:posOffset>
            </wp:positionV>
            <wp:extent cx="793750" cy="793750"/>
            <wp:effectExtent l="0" t="0" r="6350" b="6350"/>
            <wp:wrapTight wrapText="bothSides">
              <wp:wrapPolygon edited="0">
                <wp:start x="0" y="0"/>
                <wp:lineTo x="0" y="21254"/>
                <wp:lineTo x="21254" y="21254"/>
                <wp:lineTo x="21254" y="0"/>
                <wp:lineTo x="0" y="0"/>
              </wp:wrapPolygon>
            </wp:wrapTight>
            <wp:docPr id="9" name="Imagem 9" descr="Exclamação - ícones de sinais grá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clamação - ícones de sinais gráti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93750" cy="793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477E" w:rsidRPr="00DA7217">
        <w:rPr>
          <w:noProof/>
          <w:lang w:eastAsia="pt-BR"/>
        </w:rPr>
        <mc:AlternateContent>
          <mc:Choice Requires="wps">
            <w:drawing>
              <wp:anchor distT="0" distB="0" distL="114300" distR="114300" simplePos="0" relativeHeight="251921408" behindDoc="0" locked="0" layoutInCell="1" allowOverlap="1" wp14:anchorId="21C0CDD6" wp14:editId="7CA557B1">
                <wp:simplePos x="0" y="0"/>
                <wp:positionH relativeFrom="column">
                  <wp:posOffset>297156</wp:posOffset>
                </wp:positionH>
                <wp:positionV relativeFrom="paragraph">
                  <wp:posOffset>-97371</wp:posOffset>
                </wp:positionV>
                <wp:extent cx="4037162" cy="1345721"/>
                <wp:effectExtent l="0" t="0" r="20955" b="26035"/>
                <wp:wrapNone/>
                <wp:docPr id="21" name="Caixa de Texto 21"/>
                <wp:cNvGraphicFramePr/>
                <a:graphic xmlns:a="http://schemas.openxmlformats.org/drawingml/2006/main">
                  <a:graphicData uri="http://schemas.microsoft.com/office/word/2010/wordprocessingShape">
                    <wps:wsp>
                      <wps:cNvSpPr txBox="1"/>
                      <wps:spPr>
                        <a:xfrm>
                          <a:off x="0" y="0"/>
                          <a:ext cx="4037162" cy="1345721"/>
                        </a:xfrm>
                        <a:prstGeom prst="rect">
                          <a:avLst/>
                        </a:prstGeom>
                        <a:noFill/>
                        <a:ln w="6350">
                          <a:solidFill>
                            <a:schemeClr val="accent1"/>
                          </a:solidFill>
                        </a:ln>
                      </wps:spPr>
                      <wps:txbx>
                        <w:txbxContent>
                          <w:p w:rsidR="00195FDE" w:rsidRPr="002B4889" w:rsidRDefault="00195FDE" w:rsidP="00DA7217">
                            <w:pPr>
                              <w:ind w:firstLine="0"/>
                              <w:jc w:val="center"/>
                              <w:rPr>
                                <w:color w:val="0F6FC6" w:themeColor="accent1"/>
                              </w:rPr>
                            </w:pPr>
                            <w:r w:rsidRPr="002B4889">
                              <w:rPr>
                                <w:b/>
                                <w:color w:val="0F6FC6" w:themeColor="accent1"/>
                              </w:rPr>
                              <w:t>Atenção!!</w:t>
                            </w:r>
                          </w:p>
                          <w:p w:rsidR="00195FDE" w:rsidRPr="007C5D2D" w:rsidRDefault="00195FDE" w:rsidP="00DA7217">
                            <w:pPr>
                              <w:ind w:firstLine="0"/>
                              <w:rPr>
                                <w:b/>
                                <w:color w:val="619F9E"/>
                              </w:rPr>
                            </w:pPr>
                            <w:r w:rsidRPr="00DA7217">
                              <w:t>O órgão central de planejamento orçamentário disponibilizará as cotas orçamentárias de despesas até o nível de Grupo de Natureza da Despesa</w:t>
                            </w:r>
                            <w:r>
                              <w:t xml:space="preserve"> (GND)</w:t>
                            </w:r>
                            <w:r w:rsidRPr="00DA7217">
                              <w:t xml:space="preserve"> e, a partir disso, </w:t>
                            </w:r>
                            <w:r w:rsidRPr="00DA7217">
                              <w:rPr>
                                <w:b/>
                              </w:rPr>
                              <w:t>as</w:t>
                            </w:r>
                            <w:r w:rsidRPr="00DA7217">
                              <w:t xml:space="preserve"> </w:t>
                            </w:r>
                            <w:proofErr w:type="spellStart"/>
                            <w:r w:rsidRPr="00DA7217">
                              <w:rPr>
                                <w:b/>
                              </w:rPr>
                              <w:t>UOs</w:t>
                            </w:r>
                            <w:proofErr w:type="spellEnd"/>
                            <w:r w:rsidRPr="00DA7217">
                              <w:rPr>
                                <w:b/>
                              </w:rPr>
                              <w:t xml:space="preserve"> terão a responsabilidade de fixar as despesas até o nível de Elemento de Despesa.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0CDD6" id="Caixa de Texto 21" o:spid="_x0000_s1035" type="#_x0000_t202" style="position:absolute;left:0;text-align:left;margin-left:23.4pt;margin-top:-7.65pt;width:317.9pt;height:105.9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" filled="f" strokecolor="#0f6fc6 [3204]" strokeweight=".5pt">
                <v:textbox>
                  <w:txbxContent>
                    <w:p w:rsidR="00195FDE" w:rsidRPr="002B4889" w:rsidRDefault="00195FDE" w:rsidP="00DA7217">
                      <w:pPr>
                        <w:ind w:firstLine="0"/>
                        <w:jc w:val="center"/>
                        <w:rPr>
                          <w:color w:val="0F6FC6" w:themeColor="accent1"/>
                        </w:rPr>
                      </w:pPr>
                      <w:r w:rsidRPr="002B4889">
                        <w:rPr>
                          <w:b/>
                          <w:color w:val="0F6FC6" w:themeColor="accent1"/>
                        </w:rPr>
                        <w:t>Atenção!!</w:t>
                      </w:r>
                    </w:p>
                    <w:p w:rsidR="00195FDE" w:rsidRPr="007C5D2D" w:rsidRDefault="00195FDE" w:rsidP="00DA7217">
                      <w:pPr>
                        <w:ind w:firstLine="0"/>
                        <w:rPr>
                          <w:b/>
                          <w:color w:val="619F9E"/>
                        </w:rPr>
                      </w:pPr>
                      <w:r w:rsidRPr="00DA7217">
                        <w:t>O órgão central de planejamento orçamentário disponibilizará as cotas orçamentárias de despesas até o nível de Grupo de Natureza da Despesa</w:t>
                      </w:r>
                      <w:r>
                        <w:t xml:space="preserve"> (GND)</w:t>
                      </w:r>
                      <w:r w:rsidRPr="00DA7217">
                        <w:t xml:space="preserve"> e, a partir disso, </w:t>
                      </w:r>
                      <w:r w:rsidRPr="00DA7217">
                        <w:rPr>
                          <w:b/>
                        </w:rPr>
                        <w:t>as</w:t>
                      </w:r>
                      <w:r w:rsidRPr="00DA7217">
                        <w:t xml:space="preserve"> </w:t>
                      </w:r>
                      <w:r w:rsidRPr="00DA7217">
                        <w:rPr>
                          <w:b/>
                        </w:rPr>
                        <w:t>UOs terão a responsabilidade de fixar as despesas até o nível de Elemento de Despesa.</w:t>
                      </w:r>
                    </w:p>
                  </w:txbxContent>
                </v:textbox>
              </v:shape>
            </w:pict>
          </mc:Fallback>
        </mc:AlternateContent>
      </w:r>
    </w:p>
    <w:p w:rsidR="00DA7217" w:rsidRDefault="00DA7217" w:rsidP="00DA7217"/>
    <w:p w:rsidR="00DA7217" w:rsidRDefault="00DA7217" w:rsidP="00DA7217"/>
    <w:p w:rsidR="00DA7217" w:rsidRDefault="00DA7217" w:rsidP="00DA7217"/>
    <w:p w:rsidR="00DA7217" w:rsidRDefault="00DA7217" w:rsidP="00DA7217"/>
    <w:p w:rsidR="00DA7217" w:rsidRDefault="00DA7217" w:rsidP="00DA7217">
      <w:pPr>
        <w:ind w:firstLine="0"/>
      </w:pPr>
      <w:r>
        <w:rPr>
          <w:noProof/>
          <w:lang w:eastAsia="pt-BR"/>
        </w:rPr>
        <w:lastRenderedPageBreak/>
        <w:drawing>
          <wp:anchor distT="0" distB="0" distL="114300" distR="114300" simplePos="0" relativeHeight="251923456" behindDoc="0" locked="0" layoutInCell="1" allowOverlap="1">
            <wp:simplePos x="0" y="0"/>
            <wp:positionH relativeFrom="column">
              <wp:posOffset>-720090</wp:posOffset>
            </wp:positionH>
            <wp:positionV relativeFrom="paragraph">
              <wp:posOffset>0</wp:posOffset>
            </wp:positionV>
            <wp:extent cx="7564755" cy="1465580"/>
            <wp:effectExtent l="0" t="0" r="0" b="1270"/>
            <wp:wrapSquare wrapText="bothSides"/>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TAS2.JPG"/>
                    <pic:cNvPicPr/>
                  </pic:nvPicPr>
                  <pic:blipFill>
                    <a:blip r:embed="rId37">
                      <a:extLst>
                        <a:ext uri="{28A0092B-C50C-407E-A947-70E740481C1C}">
                          <a14:useLocalDpi xmlns:a14="http://schemas.microsoft.com/office/drawing/2010/main" val="0"/>
                        </a:ext>
                      </a:extLst>
                    </a:blip>
                    <a:stretch>
                      <a:fillRect/>
                    </a:stretch>
                  </pic:blipFill>
                  <pic:spPr>
                    <a:xfrm>
                      <a:off x="0" y="0"/>
                      <a:ext cx="7564755" cy="1465580"/>
                    </a:xfrm>
                    <a:prstGeom prst="rect">
                      <a:avLst/>
                    </a:prstGeom>
                  </pic:spPr>
                </pic:pic>
              </a:graphicData>
            </a:graphic>
            <wp14:sizeRelH relativeFrom="margin">
              <wp14:pctWidth>0</wp14:pctWidth>
            </wp14:sizeRelH>
          </wp:anchor>
        </w:drawing>
      </w:r>
    </w:p>
    <w:p w:rsidR="00DA7217" w:rsidRPr="002B4889" w:rsidRDefault="00DA7217" w:rsidP="00DA7217">
      <w:pPr>
        <w:pStyle w:val="Titlulo2"/>
        <w:rPr>
          <w:rFonts w:ascii="Ebrima" w:hAnsi="Ebrima"/>
          <w:color w:val="0F6FC6" w:themeColor="accent1"/>
        </w:rPr>
      </w:pPr>
      <w:bookmarkStart w:id="10" w:name="_Toc106119021"/>
      <w:r w:rsidRPr="002B4889">
        <w:rPr>
          <w:rFonts w:ascii="Ebrima" w:hAnsi="Ebrima"/>
          <w:color w:val="0F6FC6" w:themeColor="accent1"/>
        </w:rPr>
        <w:t>Avaliação e Discussão das Cotas Orçamentárias para 202</w:t>
      </w:r>
      <w:bookmarkEnd w:id="10"/>
      <w:r w:rsidR="00095761">
        <w:rPr>
          <w:rFonts w:ascii="Ebrima" w:hAnsi="Ebrima"/>
          <w:color w:val="0F6FC6" w:themeColor="accent1"/>
        </w:rPr>
        <w:t>4</w:t>
      </w:r>
    </w:p>
    <w:p w:rsidR="00DA7217" w:rsidRDefault="00DA7217" w:rsidP="00DA7217">
      <w:r>
        <w:t>O cronograma de elaboração da LOA 202</w:t>
      </w:r>
      <w:r w:rsidR="00095761">
        <w:t>4</w:t>
      </w:r>
      <w:r>
        <w:t xml:space="preserve"> prevê uma etapa denominada “Avaliação e discussão das cotas pelas Unida</w:t>
      </w:r>
      <w:r w:rsidR="00095761">
        <w:t>des Orçamentárias”, disponibilizado no site da SEF</w:t>
      </w:r>
      <w:r>
        <w:t xml:space="preserve">. </w:t>
      </w:r>
    </w:p>
    <w:p w:rsidR="00DA7217" w:rsidRDefault="00DA7217" w:rsidP="00DA7217">
      <w:r>
        <w:tab/>
        <w:t>Para a análise das cotas por FR e por GND, as Unidades Orçamentárias deverão respeitar e considerar algumas premissas básicas:</w:t>
      </w:r>
    </w:p>
    <w:p w:rsidR="00DA7217" w:rsidRPr="002B4889" w:rsidRDefault="00DA7217" w:rsidP="00DA7217">
      <w:pPr>
        <w:pStyle w:val="Ttulo3"/>
        <w:rPr>
          <w:rFonts w:ascii="Ebrima" w:hAnsi="Ebrima"/>
          <w:color w:val="0F6FC6" w:themeColor="accent1"/>
        </w:rPr>
      </w:pPr>
      <w:bookmarkStart w:id="11" w:name="_Toc106119022"/>
      <w:r w:rsidRPr="002B4889">
        <w:rPr>
          <w:rFonts w:ascii="Ebrima" w:hAnsi="Ebrima"/>
          <w:color w:val="0F6FC6" w:themeColor="accent1"/>
        </w:rPr>
        <w:t>Critérios que deverão ser considerados na análise das cotas</w:t>
      </w:r>
      <w:bookmarkEnd w:id="11"/>
    </w:p>
    <w:p w:rsidR="00DA7217" w:rsidRDefault="00DA7217" w:rsidP="00DA7217">
      <w:r>
        <w:t xml:space="preserve">Orientação Geral: As Unidades Orçamentárias poderão propor distribuição das cotas de maneira diferente daquela apresentada pela DIOR, seja em relação aos valores destinados ao custeio ou ao pagamento de pessoal e de encargos sociais, como também em relação às estimativas das demais </w:t>
      </w:r>
      <w:proofErr w:type="spellStart"/>
      <w:r>
        <w:t>GNDs</w:t>
      </w:r>
      <w:proofErr w:type="spellEnd"/>
      <w:r>
        <w:t xml:space="preserve">, respeitados os limites por FR e os critérios descritos no item 3.1.2 deste documento </w:t>
      </w:r>
      <w:proofErr w:type="spellStart"/>
      <w:r>
        <w:t>orientativo</w:t>
      </w:r>
      <w:proofErr w:type="spellEnd"/>
      <w:r>
        <w:t>, desde que apresentem justificativas fundamentadas e que o montante global para o órgão não seja alterado.</w:t>
      </w:r>
    </w:p>
    <w:p w:rsidR="00DA7217" w:rsidRDefault="00DA7217" w:rsidP="00DA7217">
      <w:r>
        <w:t>Novos projetos somente serão admitidos na proposta caso contenham fonte específica e determinada de financiamento ou se houver sido adequadamente atendido os projetos em andamento e forem compatíveis com o Plano Plurianual 202</w:t>
      </w:r>
      <w:r w:rsidR="00CA5510">
        <w:t>4</w:t>
      </w:r>
      <w:r>
        <w:t>-202</w:t>
      </w:r>
      <w:r w:rsidR="00CA5510">
        <w:t>7</w:t>
      </w:r>
      <w:r>
        <w:t xml:space="preserve"> e com as diretrizes orçamentárias para 202</w:t>
      </w:r>
      <w:r w:rsidR="00781C49">
        <w:t>3</w:t>
      </w:r>
      <w:r>
        <w:t>.</w:t>
      </w:r>
    </w:p>
    <w:p w:rsidR="009C732E" w:rsidRDefault="00DA7217" w:rsidP="00DA7217">
      <w:r>
        <w:t>Orientações específicas: As propostas de expansão ou de aperfeiçoamento de ações governamentais que acarretem aumento da despesa devem ser amparadas por estudo que demonstre a sua viabilidade técnica e devem ser instruídas com a memória de cálculo do impacto que comprove a adequação orçamentária e financeira no exercício em que entrarem em vigor e nos dois subsequentes, em obediência ao disposto no artigo 16 da Lei Complementar Federal nº 101, de 4 de maio de 2000 (LRF). Não há margem entre a receita e a despesa; portanto, qualquer acréscimo de cota orçamentária em qualquer GND será concretizado por meio da redução de outro GND da mesma Unidade Orçamentária ou de outra Unidade Orçamentária.</w:t>
      </w:r>
    </w:p>
    <w:p w:rsidR="00DA7217" w:rsidRPr="002B4889" w:rsidRDefault="00DA7217" w:rsidP="00DA7217">
      <w:pPr>
        <w:pStyle w:val="Ttulo3"/>
        <w:rPr>
          <w:rFonts w:ascii="Ebrima" w:hAnsi="Ebrima"/>
          <w:color w:val="0F6FC6" w:themeColor="accent1"/>
        </w:rPr>
      </w:pPr>
      <w:bookmarkStart w:id="12" w:name="_Toc106119023"/>
      <w:r w:rsidRPr="002B4889">
        <w:rPr>
          <w:rFonts w:ascii="Ebrima" w:hAnsi="Ebrima"/>
          <w:color w:val="0F6FC6" w:themeColor="accent1"/>
        </w:rPr>
        <w:t>Hierarquia da Despesa</w:t>
      </w:r>
      <w:bookmarkEnd w:id="12"/>
    </w:p>
    <w:p w:rsidR="00DA7217" w:rsidRDefault="00DA7217" w:rsidP="00DA7217">
      <w:r>
        <w:t xml:space="preserve">A alocação das cotas orçamentárias deverá seguir uma hierarquia de prioridade. Isso significa que, na ausência de cota orçamentária para o atendimento de todas as intenções da unidade, os </w:t>
      </w:r>
      <w:proofErr w:type="spellStart"/>
      <w:r>
        <w:t>GNDs</w:t>
      </w:r>
      <w:proofErr w:type="spellEnd"/>
      <w:r>
        <w:t xml:space="preserve"> necessários para o funcionamento da estrutura governamental deverão ser priorizados.</w:t>
      </w:r>
    </w:p>
    <w:p w:rsidR="00DA7217" w:rsidRDefault="00DA7217" w:rsidP="00DA7217">
      <w:r>
        <w:t>Dessa forma, a prioridade de grau mais alto para 202</w:t>
      </w:r>
      <w:r w:rsidR="00CA5510">
        <w:t>4</w:t>
      </w:r>
      <w:r>
        <w:t xml:space="preserve"> será manter de forma integral cota orçamentária para o atendimento das despesas com 3.1 – Pessoal e Encargos Sociais, seguida das despesas com 3.3 – Outras Despesas Correntes, que são </w:t>
      </w:r>
      <w:r>
        <w:lastRenderedPageBreak/>
        <w:t>imprescindíveis para o bom funcionamento dos bens e dos serviços entregues à sociedade.</w:t>
      </w:r>
      <w:r w:rsidR="00CA0E09" w:rsidRPr="00CA0E09">
        <w:rPr>
          <w:noProof/>
          <w:lang w:eastAsia="pt-BR"/>
        </w:rPr>
        <w:t xml:space="preserve"> </w:t>
      </w:r>
    </w:p>
    <w:p w:rsidR="00DA7217" w:rsidRDefault="00DA7217" w:rsidP="00DA7217">
      <w:r>
        <w:t xml:space="preserve">Somente após o devido atendimento das despesas com 3.1 - Pessoal e Encargos Sociais e 3.3 – Outras Despesas Correntes, caso haja saldo de cota orçamentária, serão estipulados valores para os </w:t>
      </w:r>
      <w:proofErr w:type="spellStart"/>
      <w:r>
        <w:t>GNDs</w:t>
      </w:r>
      <w:proofErr w:type="spellEnd"/>
      <w:r>
        <w:t xml:space="preserve"> 4.4 - Investimentos e 4.5 - Inversões Financeiras.</w:t>
      </w:r>
    </w:p>
    <w:p w:rsidR="002F186E" w:rsidRDefault="002F186E" w:rsidP="00DA7217">
      <w:r>
        <w:rPr>
          <w:noProof/>
          <w:lang w:eastAsia="pt-BR"/>
        </w:rPr>
        <mc:AlternateContent>
          <mc:Choice Requires="wps">
            <w:drawing>
              <wp:anchor distT="0" distB="0" distL="114300" distR="114300" simplePos="0" relativeHeight="251928576" behindDoc="0" locked="0" layoutInCell="1" allowOverlap="1">
                <wp:simplePos x="0" y="0"/>
                <wp:positionH relativeFrom="column">
                  <wp:posOffset>289201</wp:posOffset>
                </wp:positionH>
                <wp:positionV relativeFrom="paragraph">
                  <wp:posOffset>291428</wp:posOffset>
                </wp:positionV>
                <wp:extent cx="681486" cy="2346385"/>
                <wp:effectExtent l="0" t="0" r="4445" b="0"/>
                <wp:wrapNone/>
                <wp:docPr id="48" name="Caixa de Texto 48"/>
                <wp:cNvGraphicFramePr/>
                <a:graphic xmlns:a="http://schemas.openxmlformats.org/drawingml/2006/main">
                  <a:graphicData uri="http://schemas.microsoft.com/office/word/2010/wordprocessingShape">
                    <wps:wsp>
                      <wps:cNvSpPr txBox="1"/>
                      <wps:spPr>
                        <a:xfrm>
                          <a:off x="0" y="0"/>
                          <a:ext cx="681486" cy="2346385"/>
                        </a:xfrm>
                        <a:prstGeom prst="rect">
                          <a:avLst/>
                        </a:prstGeom>
                        <a:solidFill>
                          <a:schemeClr val="lt1"/>
                        </a:solidFill>
                        <a:ln w="6350">
                          <a:noFill/>
                        </a:ln>
                      </wps:spPr>
                      <wps:txbx>
                        <w:txbxContent>
                          <w:p w:rsidR="00195FDE" w:rsidRPr="002F186E" w:rsidRDefault="00195FDE" w:rsidP="002F186E">
                            <w:pPr>
                              <w:ind w:firstLine="0"/>
                              <w:jc w:val="center"/>
                              <w:rPr>
                                <w:sz w:val="40"/>
                              </w:rPr>
                            </w:pPr>
                            <w:r w:rsidRPr="002F186E">
                              <w:rPr>
                                <w:sz w:val="40"/>
                              </w:rPr>
                              <w:t>1</w:t>
                            </w:r>
                            <w:r>
                              <w:rPr>
                                <w:sz w:val="40"/>
                              </w:rPr>
                              <w:t>º</w:t>
                            </w:r>
                          </w:p>
                          <w:p w:rsidR="00195FDE" w:rsidRPr="002F186E" w:rsidRDefault="00195FDE" w:rsidP="002F186E">
                            <w:pPr>
                              <w:ind w:firstLine="0"/>
                              <w:jc w:val="center"/>
                              <w:rPr>
                                <w:sz w:val="40"/>
                              </w:rPr>
                            </w:pPr>
                          </w:p>
                          <w:p w:rsidR="00195FDE" w:rsidRPr="002F186E" w:rsidRDefault="00195FDE" w:rsidP="002F186E">
                            <w:pPr>
                              <w:ind w:firstLine="0"/>
                              <w:jc w:val="center"/>
                              <w:rPr>
                                <w:sz w:val="40"/>
                              </w:rPr>
                            </w:pPr>
                            <w:r w:rsidRPr="002F186E">
                              <w:rPr>
                                <w:sz w:val="40"/>
                              </w:rPr>
                              <w:t>2</w:t>
                            </w:r>
                            <w:r>
                              <w:rPr>
                                <w:sz w:val="40"/>
                              </w:rPr>
                              <w:t>º</w:t>
                            </w:r>
                          </w:p>
                          <w:p w:rsidR="00195FDE" w:rsidRPr="002F186E" w:rsidRDefault="00195FDE" w:rsidP="002F186E">
                            <w:pPr>
                              <w:ind w:firstLine="0"/>
                              <w:jc w:val="center"/>
                              <w:rPr>
                                <w:sz w:val="40"/>
                              </w:rPr>
                            </w:pPr>
                          </w:p>
                          <w:p w:rsidR="00195FDE" w:rsidRPr="002F186E" w:rsidRDefault="00195FDE" w:rsidP="002F186E">
                            <w:pPr>
                              <w:ind w:firstLine="0"/>
                              <w:jc w:val="center"/>
                              <w:rPr>
                                <w:sz w:val="40"/>
                              </w:rPr>
                            </w:pPr>
                            <w:r w:rsidRPr="002F186E">
                              <w:rPr>
                                <w:sz w:val="40"/>
                              </w:rPr>
                              <w:t>3</w:t>
                            </w:r>
                            <w:r>
                              <w:rPr>
                                <w:sz w:val="40"/>
                              </w:rPr>
                              <w:t>º</w:t>
                            </w:r>
                          </w:p>
                          <w:p w:rsidR="00195FDE" w:rsidRDefault="00195F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48" o:spid="_x0000_s1036" type="#_x0000_t202" style="position:absolute;left:0;text-align:left;margin-left:22.75pt;margin-top:22.95pt;width:53.65pt;height:184.7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" fillcolor="white [3201]" stroked="f" strokeweight=".5pt">
                <v:textbox>
                  <w:txbxContent>
                    <w:p w:rsidR="00195FDE" w:rsidRPr="002F186E" w:rsidRDefault="00195FDE" w:rsidP="002F186E">
                      <w:pPr>
                        <w:ind w:firstLine="0"/>
                        <w:jc w:val="center"/>
                        <w:rPr>
                          <w:sz w:val="40"/>
                        </w:rPr>
                      </w:pPr>
                      <w:r w:rsidRPr="002F186E">
                        <w:rPr>
                          <w:sz w:val="40"/>
                        </w:rPr>
                        <w:t>1</w:t>
                      </w:r>
                      <w:r>
                        <w:rPr>
                          <w:sz w:val="40"/>
                        </w:rPr>
                        <w:t>º</w:t>
                      </w:r>
                    </w:p>
                    <w:p w:rsidR="00195FDE" w:rsidRPr="002F186E" w:rsidRDefault="00195FDE" w:rsidP="002F186E">
                      <w:pPr>
                        <w:ind w:firstLine="0"/>
                        <w:jc w:val="center"/>
                        <w:rPr>
                          <w:sz w:val="40"/>
                        </w:rPr>
                      </w:pPr>
                    </w:p>
                    <w:p w:rsidR="00195FDE" w:rsidRPr="002F186E" w:rsidRDefault="00195FDE" w:rsidP="002F186E">
                      <w:pPr>
                        <w:ind w:firstLine="0"/>
                        <w:jc w:val="center"/>
                        <w:rPr>
                          <w:sz w:val="40"/>
                        </w:rPr>
                      </w:pPr>
                      <w:r w:rsidRPr="002F186E">
                        <w:rPr>
                          <w:sz w:val="40"/>
                        </w:rPr>
                        <w:t>2</w:t>
                      </w:r>
                      <w:r>
                        <w:rPr>
                          <w:sz w:val="40"/>
                        </w:rPr>
                        <w:t>º</w:t>
                      </w:r>
                    </w:p>
                    <w:p w:rsidR="00195FDE" w:rsidRPr="002F186E" w:rsidRDefault="00195FDE" w:rsidP="002F186E">
                      <w:pPr>
                        <w:ind w:firstLine="0"/>
                        <w:jc w:val="center"/>
                        <w:rPr>
                          <w:sz w:val="40"/>
                        </w:rPr>
                      </w:pPr>
                    </w:p>
                    <w:p w:rsidR="00195FDE" w:rsidRPr="002F186E" w:rsidRDefault="00195FDE" w:rsidP="002F186E">
                      <w:pPr>
                        <w:ind w:firstLine="0"/>
                        <w:jc w:val="center"/>
                        <w:rPr>
                          <w:sz w:val="40"/>
                        </w:rPr>
                      </w:pPr>
                      <w:r w:rsidRPr="002F186E">
                        <w:rPr>
                          <w:sz w:val="40"/>
                        </w:rPr>
                        <w:t>3</w:t>
                      </w:r>
                      <w:r>
                        <w:rPr>
                          <w:sz w:val="40"/>
                        </w:rPr>
                        <w:t>º</w:t>
                      </w:r>
                    </w:p>
                    <w:p w:rsidR="00195FDE" w:rsidRDefault="00195FDE"/>
                  </w:txbxContent>
                </v:textbox>
              </v:shape>
            </w:pict>
          </mc:Fallback>
        </mc:AlternateContent>
      </w:r>
    </w:p>
    <w:p w:rsidR="002F186E" w:rsidRDefault="002A7A7A" w:rsidP="002F186E">
      <w:pPr>
        <w:spacing w:line="259" w:lineRule="auto"/>
        <w:ind w:firstLine="0"/>
        <w:jc w:val="center"/>
      </w:pPr>
      <w:r>
        <w:rPr>
          <w:noProof/>
          <w:lang w:eastAsia="pt-BR"/>
        </w:rPr>
        <w:drawing>
          <wp:inline distT="0" distB="0" distL="0" distR="0">
            <wp:extent cx="3976777" cy="2182483"/>
            <wp:effectExtent l="0" t="0" r="24130" b="66040"/>
            <wp:docPr id="44" name="Diagrama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2F186E" w:rsidRDefault="002F186E" w:rsidP="002F186E">
      <w:pPr>
        <w:spacing w:line="259" w:lineRule="auto"/>
        <w:ind w:firstLine="0"/>
        <w:jc w:val="center"/>
      </w:pPr>
    </w:p>
    <w:p w:rsidR="002F186E" w:rsidRDefault="002F186E">
      <w:pPr>
        <w:spacing w:line="259" w:lineRule="auto"/>
        <w:ind w:firstLine="0"/>
        <w:jc w:val="left"/>
      </w:pPr>
      <w:r>
        <w:br w:type="page"/>
      </w:r>
    </w:p>
    <w:p w:rsidR="0018477E" w:rsidRDefault="0018477E" w:rsidP="0018477E">
      <w:r>
        <w:rPr>
          <w:noProof/>
          <w:lang w:eastAsia="pt-BR"/>
        </w:rPr>
        <w:lastRenderedPageBreak/>
        <w:drawing>
          <wp:anchor distT="0" distB="0" distL="114300" distR="114300" simplePos="0" relativeHeight="251931648" behindDoc="0" locked="0" layoutInCell="1" allowOverlap="1" wp14:anchorId="6CDDD4AB" wp14:editId="1534A826">
            <wp:simplePos x="0" y="0"/>
            <wp:positionH relativeFrom="column">
              <wp:posOffset>-719766</wp:posOffset>
            </wp:positionH>
            <wp:positionV relativeFrom="paragraph">
              <wp:posOffset>479</wp:posOffset>
            </wp:positionV>
            <wp:extent cx="7564755" cy="1459230"/>
            <wp:effectExtent l="0" t="0" r="0" b="7620"/>
            <wp:wrapSquare wrapText="bothSides"/>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OTAS.JPG"/>
                    <pic:cNvPicPr/>
                  </pic:nvPicPr>
                  <pic:blipFill>
                    <a:blip r:embed="rId43">
                      <a:extLst>
                        <a:ext uri="{28A0092B-C50C-407E-A947-70E740481C1C}">
                          <a14:useLocalDpi xmlns:a14="http://schemas.microsoft.com/office/drawing/2010/main" val="0"/>
                        </a:ext>
                      </a:extLst>
                    </a:blip>
                    <a:stretch>
                      <a:fillRect/>
                    </a:stretch>
                  </pic:blipFill>
                  <pic:spPr>
                    <a:xfrm>
                      <a:off x="0" y="0"/>
                      <a:ext cx="7564755" cy="1459230"/>
                    </a:xfrm>
                    <a:prstGeom prst="rect">
                      <a:avLst/>
                    </a:prstGeom>
                  </pic:spPr>
                </pic:pic>
              </a:graphicData>
            </a:graphic>
            <wp14:sizeRelH relativeFrom="margin">
              <wp14:pctWidth>0</wp14:pctWidth>
            </wp14:sizeRelH>
          </wp:anchor>
        </w:drawing>
      </w:r>
    </w:p>
    <w:p w:rsidR="002F186E" w:rsidRPr="002B4889" w:rsidRDefault="00961CD4" w:rsidP="002F186E">
      <w:pPr>
        <w:pStyle w:val="TITULO1"/>
        <w:numPr>
          <w:ilvl w:val="0"/>
          <w:numId w:val="5"/>
        </w:numPr>
        <w:rPr>
          <w:rFonts w:ascii="Ebrima" w:hAnsi="Ebrima"/>
          <w:color w:val="0F6FC6" w:themeColor="accent1"/>
        </w:rPr>
      </w:pPr>
      <w:bookmarkStart w:id="13" w:name="_Toc106119024"/>
      <w:r w:rsidRPr="002B4889">
        <w:rPr>
          <w:rFonts w:ascii="Ebrima" w:hAnsi="Ebrima"/>
          <w:color w:val="0F6FC6" w:themeColor="accent1"/>
        </w:rPr>
        <w:t>FIXAÇÃO DAS DE</w:t>
      </w:r>
      <w:r w:rsidR="00735746" w:rsidRPr="002B4889">
        <w:rPr>
          <w:rFonts w:ascii="Ebrima" w:hAnsi="Ebrima"/>
          <w:color w:val="0F6FC6" w:themeColor="accent1"/>
        </w:rPr>
        <w:t>S</w:t>
      </w:r>
      <w:r w:rsidRPr="002B4889">
        <w:rPr>
          <w:rFonts w:ascii="Ebrima" w:hAnsi="Ebrima"/>
          <w:color w:val="0F6FC6" w:themeColor="accent1"/>
        </w:rPr>
        <w:t>PESAS</w:t>
      </w:r>
      <w:bookmarkEnd w:id="13"/>
    </w:p>
    <w:p w:rsidR="0018477E" w:rsidRDefault="0018477E" w:rsidP="00D05CDE">
      <w:pPr>
        <w:ind w:firstLine="709"/>
      </w:pPr>
      <w:r w:rsidRPr="0018477E">
        <w:t>Após a aprovação definitiva das cotas orçamentárias por FR e por GND, as Unidades Orçamentárias iniciarão o processo de alocação dos recursos nas subações orçamentárias até o nível de elemento de despesa, dentro dos prazos e limites previstos, no Sistema Integrado de Planejamento e Gestão Fiscal (SIGEF), conforme exemplo demonstrado a seguir:</w:t>
      </w:r>
    </w:p>
    <w:p w:rsidR="00CA2398" w:rsidRDefault="00CA2398" w:rsidP="00CA2398">
      <w:pPr>
        <w:ind w:firstLine="0"/>
      </w:pPr>
      <w:r>
        <w:rPr>
          <w:noProof/>
          <w:lang w:eastAsia="pt-BR"/>
        </w:rPr>
        <w:drawing>
          <wp:inline distT="0" distB="0" distL="0" distR="0" wp14:anchorId="6B3E22A0" wp14:editId="2B579A1A">
            <wp:extent cx="6120130" cy="2929255"/>
            <wp:effectExtent l="152400" t="152400" r="356870" b="36639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20130" cy="2929255"/>
                    </a:xfrm>
                    <a:prstGeom prst="rect">
                      <a:avLst/>
                    </a:prstGeom>
                    <a:ln>
                      <a:noFill/>
                    </a:ln>
                    <a:effectLst>
                      <a:outerShdw blurRad="292100" dist="139700" dir="2700000" algn="tl" rotWithShape="0">
                        <a:srgbClr val="333333">
                          <a:alpha val="65000"/>
                        </a:srgbClr>
                      </a:outerShdw>
                    </a:effectLst>
                  </pic:spPr>
                </pic:pic>
              </a:graphicData>
            </a:graphic>
          </wp:inline>
        </w:drawing>
      </w:r>
    </w:p>
    <w:p w:rsidR="00CA2398" w:rsidRDefault="00CA2398" w:rsidP="00CA2398">
      <w:pPr>
        <w:ind w:firstLine="0"/>
      </w:pPr>
      <w:r>
        <w:rPr>
          <w:noProof/>
          <w:lang w:eastAsia="pt-BR"/>
        </w:rPr>
        <w:drawing>
          <wp:anchor distT="0" distB="0" distL="114300" distR="114300" simplePos="0" relativeHeight="252000256" behindDoc="0" locked="0" layoutInCell="1" allowOverlap="1">
            <wp:simplePos x="0" y="0"/>
            <wp:positionH relativeFrom="column">
              <wp:posOffset>149860</wp:posOffset>
            </wp:positionH>
            <wp:positionV relativeFrom="paragraph">
              <wp:posOffset>153670</wp:posOffset>
            </wp:positionV>
            <wp:extent cx="1873250" cy="1419664"/>
            <wp:effectExtent l="152400" t="152400" r="355600" b="371475"/>
            <wp:wrapSquare wrapText="bothSides"/>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873250" cy="1419664"/>
                    </a:xfrm>
                    <a:prstGeom prst="rect">
                      <a:avLst/>
                    </a:prstGeom>
                    <a:ln>
                      <a:noFill/>
                    </a:ln>
                    <a:effectLst>
                      <a:outerShdw blurRad="292100" dist="139700" dir="2700000" algn="tl" rotWithShape="0">
                        <a:srgbClr val="333333">
                          <a:alpha val="65000"/>
                        </a:srgbClr>
                      </a:outerShdw>
                    </a:effectLst>
                  </pic:spPr>
                </pic:pic>
              </a:graphicData>
            </a:graphic>
          </wp:anchor>
        </w:drawing>
      </w:r>
    </w:p>
    <w:p w:rsidR="00D05CDE" w:rsidRDefault="00CA2398" w:rsidP="00CA2398">
      <w:pPr>
        <w:ind w:firstLine="0"/>
      </w:pPr>
      <w:r>
        <w:t>Algumas fontes de recursos serão enviadas sem a classificação de GND, nestes casos, a unidade poderá alocar o recurso onde achar necessário.</w:t>
      </w:r>
    </w:p>
    <w:p w:rsidR="00D05CDE" w:rsidRDefault="00D05CDE" w:rsidP="0018477E"/>
    <w:p w:rsidR="00D05CDE" w:rsidRDefault="00D05CDE" w:rsidP="0018477E"/>
    <w:p w:rsidR="00D05CDE" w:rsidRDefault="00D05CDE" w:rsidP="0018477E"/>
    <w:p w:rsidR="00D05CDE" w:rsidRDefault="00D05CDE" w:rsidP="0018477E"/>
    <w:p w:rsidR="00D05CDE" w:rsidRDefault="00D05CDE" w:rsidP="0018477E"/>
    <w:p w:rsidR="00961CD4" w:rsidRDefault="00D05CDE" w:rsidP="00CA2398">
      <w:r>
        <w:lastRenderedPageBreak/>
        <w:t>Toda a conceituação sobre Categoria Econômica, Grupo de Natureza de Despesa, Modalidade de Aplicação e Elemento de Despesa está disponível no Decreto Estadual nº 1.323/2012 - Classificação da Despesa Pública.</w:t>
      </w:r>
    </w:p>
    <w:p w:rsidR="00961CD4" w:rsidRPr="002B4889" w:rsidRDefault="00961CD4" w:rsidP="00961CD4">
      <w:pPr>
        <w:pStyle w:val="Titlulo2"/>
        <w:rPr>
          <w:rFonts w:ascii="Ebrima" w:hAnsi="Ebrima"/>
        </w:rPr>
      </w:pPr>
      <w:r w:rsidRPr="002B4889">
        <w:rPr>
          <w:rFonts w:ascii="Ebrima" w:hAnsi="Ebrima"/>
          <w:b w:val="0"/>
        </w:rPr>
        <w:t xml:space="preserve"> </w:t>
      </w:r>
      <w:bookmarkStart w:id="14" w:name="_Toc106119025"/>
      <w:r w:rsidR="00F445DA" w:rsidRPr="002B4889">
        <w:rPr>
          <w:rFonts w:ascii="Ebrima" w:hAnsi="Ebrima"/>
          <w:color w:val="0F6FC6" w:themeColor="accent1"/>
        </w:rPr>
        <w:t>Fixação da Despesa no SIGEF LOA 202</w:t>
      </w:r>
      <w:bookmarkEnd w:id="14"/>
      <w:r w:rsidR="006B46F8">
        <w:rPr>
          <w:rFonts w:ascii="Ebrima" w:hAnsi="Ebrima"/>
          <w:color w:val="0F6FC6" w:themeColor="accent1"/>
        </w:rPr>
        <w:t>4</w:t>
      </w:r>
    </w:p>
    <w:p w:rsidR="00D05CDE" w:rsidRDefault="00D05CDE" w:rsidP="00D05CDE">
      <w:r>
        <w:t>A seguir, demonstraremos o passo a passo para a fixação das despesas na Lei Orçamentária Anual de 202</w:t>
      </w:r>
      <w:r w:rsidR="006B46F8">
        <w:t>4</w:t>
      </w:r>
      <w:r>
        <w:t>.</w:t>
      </w:r>
    </w:p>
    <w:p w:rsidR="00D05CDE" w:rsidRDefault="00D05CDE" w:rsidP="00D05CDE">
      <w:r w:rsidRPr="002B4889">
        <w:rPr>
          <w:b/>
          <w:color w:val="0F6FC6" w:themeColor="accent1"/>
        </w:rPr>
        <w:t>1º PASSO</w:t>
      </w:r>
      <w:r w:rsidRPr="002B4889">
        <w:rPr>
          <w:color w:val="0F6FC6" w:themeColor="accent1"/>
        </w:rPr>
        <w:t xml:space="preserve">: </w:t>
      </w:r>
      <w:r w:rsidR="001A676F" w:rsidRPr="001A676F">
        <w:rPr>
          <w:b/>
        </w:rPr>
        <w:t>A</w:t>
      </w:r>
      <w:r w:rsidRPr="001A676F">
        <w:rPr>
          <w:b/>
        </w:rPr>
        <w:t>cessar o Módulo de Elaboração da Lei Orçamentária Anual – LOA</w:t>
      </w:r>
    </w:p>
    <w:p w:rsidR="00D05CDE" w:rsidRDefault="00D05CDE" w:rsidP="00D05CDE">
      <w:r>
        <w:t>O módulo da Lei Orçamentária Anual é onde cadastramos a Receita e a Despesa prevista para um exercício.</w:t>
      </w:r>
      <w:r w:rsidR="001A676F">
        <w:t xml:space="preserve"> Trocar para o </w:t>
      </w:r>
      <w:r w:rsidR="001A676F" w:rsidRPr="00CA2398">
        <w:rPr>
          <w:b/>
          <w:u w:val="single"/>
        </w:rPr>
        <w:t>Exercício de 202</w:t>
      </w:r>
      <w:r w:rsidR="006B46F8">
        <w:rPr>
          <w:b/>
          <w:u w:val="single"/>
        </w:rPr>
        <w:t>4</w:t>
      </w:r>
      <w:r w:rsidR="001A676F">
        <w:t xml:space="preserve"> para realizar os registros.</w:t>
      </w:r>
    </w:p>
    <w:p w:rsidR="00D05CDE" w:rsidRDefault="00CA2398" w:rsidP="00D05CDE">
      <w:pPr>
        <w:ind w:firstLine="0"/>
      </w:pPr>
      <w:r>
        <w:rPr>
          <w:noProof/>
          <w:lang w:eastAsia="pt-BR"/>
        </w:rPr>
        <mc:AlternateContent>
          <mc:Choice Requires="wps">
            <w:drawing>
              <wp:anchor distT="0" distB="0" distL="114300" distR="114300" simplePos="0" relativeHeight="252002304" behindDoc="0" locked="0" layoutInCell="1" allowOverlap="1">
                <wp:simplePos x="0" y="0"/>
                <wp:positionH relativeFrom="column">
                  <wp:posOffset>2194149</wp:posOffset>
                </wp:positionH>
                <wp:positionV relativeFrom="paragraph">
                  <wp:posOffset>454761</wp:posOffset>
                </wp:positionV>
                <wp:extent cx="674288" cy="177617"/>
                <wp:effectExtent l="0" t="0" r="12065" b="13335"/>
                <wp:wrapNone/>
                <wp:docPr id="32" name="Retângulo 32"/>
                <wp:cNvGraphicFramePr/>
                <a:graphic xmlns:a="http://schemas.openxmlformats.org/drawingml/2006/main">
                  <a:graphicData uri="http://schemas.microsoft.com/office/word/2010/wordprocessingShape">
                    <wps:wsp>
                      <wps:cNvSpPr/>
                      <wps:spPr>
                        <a:xfrm>
                          <a:off x="0" y="0"/>
                          <a:ext cx="674288" cy="17761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C4FA46" id="Retângulo 32" o:spid="_x0000_s1026" style="position:absolute;margin-left:172.75pt;margin-top:35.8pt;width:53.1pt;height:14pt;z-index:25200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" filled="f" strokecolor="red" strokeweight="1pt"/>
            </w:pict>
          </mc:Fallback>
        </mc:AlternateContent>
      </w:r>
      <w:r>
        <w:rPr>
          <w:noProof/>
          <w:lang w:eastAsia="pt-BR"/>
        </w:rPr>
        <mc:AlternateContent>
          <mc:Choice Requires="wps">
            <w:drawing>
              <wp:anchor distT="0" distB="0" distL="114300" distR="114300" simplePos="0" relativeHeight="252001280" behindDoc="0" locked="0" layoutInCell="1" allowOverlap="1">
                <wp:simplePos x="0" y="0"/>
                <wp:positionH relativeFrom="column">
                  <wp:posOffset>2575697</wp:posOffset>
                </wp:positionH>
                <wp:positionV relativeFrom="paragraph">
                  <wp:posOffset>523834</wp:posOffset>
                </wp:positionV>
                <wp:extent cx="164460" cy="59206"/>
                <wp:effectExtent l="0" t="0" r="26670" b="17145"/>
                <wp:wrapNone/>
                <wp:docPr id="30" name="Retângulo 30"/>
                <wp:cNvGraphicFramePr/>
                <a:graphic xmlns:a="http://schemas.openxmlformats.org/drawingml/2006/main">
                  <a:graphicData uri="http://schemas.microsoft.com/office/word/2010/wordprocessingShape">
                    <wps:wsp>
                      <wps:cNvSpPr/>
                      <wps:spPr>
                        <a:xfrm>
                          <a:off x="0" y="0"/>
                          <a:ext cx="164460" cy="5920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C0926E" id="Retângulo 30" o:spid="_x0000_s1026" style="position:absolute;margin-left:202.8pt;margin-top:41.25pt;width:12.95pt;height:4.65pt;z-index:25200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" fillcolor="white [3212]" strokecolor="white [3212]" strokeweight="1pt"/>
            </w:pict>
          </mc:Fallback>
        </mc:AlternateContent>
      </w:r>
      <w:r w:rsidR="00D05CDE">
        <w:rPr>
          <w:noProof/>
          <w:lang w:eastAsia="pt-BR"/>
        </w:rPr>
        <w:drawing>
          <wp:inline distT="0" distB="0" distL="0" distR="0">
            <wp:extent cx="5667555" cy="2409506"/>
            <wp:effectExtent l="152400" t="152400" r="352425" b="35306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74142" cy="2412306"/>
                    </a:xfrm>
                    <a:prstGeom prst="rect">
                      <a:avLst/>
                    </a:prstGeom>
                    <a:ln>
                      <a:noFill/>
                    </a:ln>
                    <a:effectLst>
                      <a:outerShdw blurRad="292100" dist="139700" dir="2700000" algn="tl" rotWithShape="0">
                        <a:srgbClr val="333333">
                          <a:alpha val="65000"/>
                        </a:srgbClr>
                      </a:outerShdw>
                    </a:effectLst>
                  </pic:spPr>
                </pic:pic>
              </a:graphicData>
            </a:graphic>
          </wp:inline>
        </w:drawing>
      </w:r>
    </w:p>
    <w:p w:rsidR="00D05CDE" w:rsidRDefault="00EE5EBF" w:rsidP="00EE5EBF">
      <w:r>
        <w:t xml:space="preserve">A elaboração </w:t>
      </w:r>
      <w:r w:rsidR="000E0F72">
        <w:t xml:space="preserve">da LOA </w:t>
      </w:r>
      <w:r>
        <w:t>da divide-se em fases</w:t>
      </w:r>
      <w:r w:rsidR="000E0F72">
        <w:t>: Fase Inicial, Fase Unidade Orçamentária, Fase Órgão Central, Fase Assembleia, Fase Governador e Fase Aprovada. É</w:t>
      </w:r>
      <w:r>
        <w:t xml:space="preserve"> na fase Unidade Orçamentária</w:t>
      </w:r>
      <w:r w:rsidR="00D05CDE">
        <w:t xml:space="preserve"> em que as Unidades poderão fixar suas despesas para 202</w:t>
      </w:r>
      <w:r w:rsidR="00FE10D0">
        <w:t>4</w:t>
      </w:r>
      <w:r w:rsidR="00D05CDE">
        <w:t>.</w:t>
      </w:r>
    </w:p>
    <w:p w:rsidR="00D05CDE" w:rsidRDefault="00D05CDE" w:rsidP="00D05CDE">
      <w:r w:rsidRPr="002B4889">
        <w:rPr>
          <w:b/>
          <w:color w:val="0F6FC6" w:themeColor="accent1"/>
        </w:rPr>
        <w:t>2º PASSO</w:t>
      </w:r>
      <w:r w:rsidRPr="002B4889">
        <w:rPr>
          <w:color w:val="0F6FC6" w:themeColor="accent1"/>
        </w:rPr>
        <w:t xml:space="preserve">: </w:t>
      </w:r>
      <w:r w:rsidRPr="001A676F">
        <w:rPr>
          <w:b/>
        </w:rPr>
        <w:t>Fixação das Despesas – Funcionalidade “Manter Fixação Despesa”</w:t>
      </w:r>
    </w:p>
    <w:p w:rsidR="00D05CDE" w:rsidRDefault="00D05CDE" w:rsidP="00D05CDE">
      <w:r>
        <w:t>A fixação das despesas será realizada com base nas Cotas Orçamentárias, disponibilizadas pela DIOR nas subações, Fonte de Recurso e Natureza da Despesa por meio lançamentos individualizados na funcionalidade “Manter Fixação Despesa”:</w:t>
      </w:r>
    </w:p>
    <w:p w:rsidR="00D05CDE" w:rsidRDefault="00D05CDE" w:rsidP="00D05CDE">
      <w:pPr>
        <w:ind w:firstLine="0"/>
      </w:pPr>
      <w:r>
        <w:rPr>
          <w:noProof/>
          <w:lang w:eastAsia="pt-BR"/>
        </w:rPr>
        <w:lastRenderedPageBreak/>
        <w:drawing>
          <wp:inline distT="0" distB="0" distL="0" distR="0" wp14:anchorId="14DEEA92" wp14:editId="46D999F6">
            <wp:extent cx="5796951" cy="1878157"/>
            <wp:effectExtent l="171450" t="171450" r="356235" b="370205"/>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7">
                      <a:extLst>
                        <a:ext uri="{28A0092B-C50C-407E-A947-70E740481C1C}">
                          <a14:useLocalDpi xmlns:a14="http://schemas.microsoft.com/office/drawing/2010/main" val="0"/>
                        </a:ext>
                      </a:extLst>
                    </a:blip>
                    <a:srcRect l="733" t="17010"/>
                    <a:stretch/>
                  </pic:blipFill>
                  <pic:spPr bwMode="auto">
                    <a:xfrm>
                      <a:off x="0" y="0"/>
                      <a:ext cx="5842158" cy="189280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0E0F72" w:rsidRDefault="00A838CA" w:rsidP="000E0F72">
      <w:r w:rsidRPr="00A838CA">
        <w:rPr>
          <w:b/>
        </w:rPr>
        <w:t>*</w:t>
      </w:r>
      <w:r w:rsidR="000E0F72" w:rsidRPr="00A838CA">
        <w:rPr>
          <w:b/>
        </w:rPr>
        <w:t>Campo “Subação”</w:t>
      </w:r>
      <w:r w:rsidR="000E0F72">
        <w:t>: O usuário deve informar o código ou realizar uma pesquisa (pressionar “?”).</w:t>
      </w:r>
    </w:p>
    <w:p w:rsidR="000E0F72" w:rsidRDefault="000E0F72" w:rsidP="000E0F72">
      <w:r>
        <w:t>Após a pesquisa da subação em que se deseja inserir a despesa, basta o usuário pressionar o botão “Adicionar” para inserir o detalhamento da despesa:</w:t>
      </w:r>
    </w:p>
    <w:p w:rsidR="000E0F72" w:rsidRDefault="000E0F72" w:rsidP="000E0F72">
      <w:pPr>
        <w:ind w:firstLine="0"/>
      </w:pPr>
      <w:r>
        <w:rPr>
          <w:noProof/>
          <w:lang w:eastAsia="pt-BR"/>
        </w:rPr>
        <w:drawing>
          <wp:inline distT="0" distB="0" distL="0" distR="0" wp14:anchorId="77FE6327" wp14:editId="752ED463">
            <wp:extent cx="5597682" cy="2286709"/>
            <wp:effectExtent l="152400" t="171450" r="346075" b="361315"/>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8">
                      <a:extLst>
                        <a:ext uri="{28A0092B-C50C-407E-A947-70E740481C1C}">
                          <a14:useLocalDpi xmlns:a14="http://schemas.microsoft.com/office/drawing/2010/main" val="0"/>
                        </a:ext>
                      </a:extLst>
                    </a:blip>
                    <a:srcRect l="723" t="16636"/>
                    <a:stretch/>
                  </pic:blipFill>
                  <pic:spPr bwMode="auto">
                    <a:xfrm>
                      <a:off x="0" y="0"/>
                      <a:ext cx="5607075" cy="229054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0E0F72" w:rsidRDefault="000E0F72" w:rsidP="00A838CA">
      <w:pPr>
        <w:pStyle w:val="PargrafodaLista"/>
        <w:numPr>
          <w:ilvl w:val="0"/>
          <w:numId w:val="30"/>
        </w:numPr>
      </w:pPr>
      <w:r>
        <w:t>Fonte de Recurso: Código da Fonte (Campo obrigatório)</w:t>
      </w:r>
    </w:p>
    <w:p w:rsidR="000E0F72" w:rsidRDefault="000E0F72" w:rsidP="00A838CA">
      <w:pPr>
        <w:pStyle w:val="PargrafodaLista"/>
        <w:numPr>
          <w:ilvl w:val="0"/>
          <w:numId w:val="30"/>
        </w:numPr>
      </w:pPr>
      <w:r>
        <w:t>Natureza da despesa: Código da Natureza da Despesa (Campo obrigatório)</w:t>
      </w:r>
    </w:p>
    <w:p w:rsidR="000E0F72" w:rsidRDefault="000E0F72" w:rsidP="00A838CA">
      <w:pPr>
        <w:pStyle w:val="PargrafodaLista"/>
        <w:numPr>
          <w:ilvl w:val="0"/>
          <w:numId w:val="30"/>
        </w:numPr>
      </w:pPr>
      <w:r>
        <w:t>Valor Base: Valor base da despesa (Campo obrigatório)</w:t>
      </w:r>
    </w:p>
    <w:p w:rsidR="000E0F72" w:rsidRDefault="000E0F72" w:rsidP="00A838CA">
      <w:pPr>
        <w:pStyle w:val="PargrafodaLista"/>
        <w:numPr>
          <w:ilvl w:val="0"/>
          <w:numId w:val="30"/>
        </w:numPr>
      </w:pPr>
      <w:r>
        <w:t>Memória de Cálculo: Informar o código % da Memória de cálculo (Não precisa informar)</w:t>
      </w:r>
    </w:p>
    <w:p w:rsidR="000E0F72" w:rsidRDefault="000E0F72" w:rsidP="00A838CA">
      <w:pPr>
        <w:pStyle w:val="PargrafodaLista"/>
        <w:numPr>
          <w:ilvl w:val="0"/>
          <w:numId w:val="30"/>
        </w:numPr>
      </w:pPr>
      <w:r>
        <w:t>% Ajuste: informar percentual de ajuste (Não precisa informar)</w:t>
      </w:r>
    </w:p>
    <w:p w:rsidR="000E0F72" w:rsidRDefault="00A838CA" w:rsidP="00A838CA">
      <w:pPr>
        <w:pStyle w:val="PargrafodaLista"/>
        <w:numPr>
          <w:ilvl w:val="0"/>
          <w:numId w:val="30"/>
        </w:numPr>
      </w:pPr>
      <w:r>
        <w:t>Confirmar</w:t>
      </w:r>
      <w:r w:rsidR="000E0F72">
        <w:t xml:space="preserve"> para encerrar a inclusão do detalhamento da subação</w:t>
      </w:r>
    </w:p>
    <w:p w:rsidR="00BA0F46" w:rsidRDefault="00BA0F46" w:rsidP="000E0F72"/>
    <w:p w:rsidR="000E0F72" w:rsidRDefault="000E0F72" w:rsidP="000E0F72">
      <w:r>
        <w:t>As Unidades Orçamentárias deverão proceder assim e sucessivamente até informar todas as fontes e natureza da despesa correspondentes à subação. Quando todas estiverem informadas, deve ser pressionado o botão “Fechar”, retornando à tela anterior, e deve ser escolhida a opção “Incluir”.</w:t>
      </w:r>
    </w:p>
    <w:p w:rsidR="00D05CDE" w:rsidRDefault="000E0F72" w:rsidP="000E0F72">
      <w:r>
        <w:lastRenderedPageBreak/>
        <w:t xml:space="preserve">Para alterar alguma informação inserida incorretamente, deve ser informada a subação e pressionado o botão “Consultar”. O sistema irá apresentar a tela com as informações referentes a esse registro. A Unidade Orçamentária deverá proceder às alterações necessárias e pressionar o </w:t>
      </w:r>
      <w:r w:rsidRPr="0081651D">
        <w:rPr>
          <w:b/>
        </w:rPr>
        <w:t>botão “Alterar”.</w:t>
      </w:r>
    </w:p>
    <w:p w:rsidR="0081651D" w:rsidRDefault="0081651D" w:rsidP="0081651D">
      <w:pPr>
        <w:ind w:firstLine="0"/>
      </w:pPr>
      <w:r>
        <w:rPr>
          <w:noProof/>
          <w:lang w:eastAsia="pt-BR"/>
        </w:rPr>
        <mc:AlternateContent>
          <mc:Choice Requires="wps">
            <w:drawing>
              <wp:anchor distT="0" distB="0" distL="114300" distR="114300" simplePos="0" relativeHeight="252006400" behindDoc="0" locked="0" layoutInCell="1" allowOverlap="1">
                <wp:simplePos x="0" y="0"/>
                <wp:positionH relativeFrom="column">
                  <wp:posOffset>2732244</wp:posOffset>
                </wp:positionH>
                <wp:positionV relativeFrom="paragraph">
                  <wp:posOffset>1876425</wp:posOffset>
                </wp:positionV>
                <wp:extent cx="648164" cy="252483"/>
                <wp:effectExtent l="0" t="0" r="19050" b="14605"/>
                <wp:wrapNone/>
                <wp:docPr id="40" name="Retângulo 40"/>
                <wp:cNvGraphicFramePr/>
                <a:graphic xmlns:a="http://schemas.openxmlformats.org/drawingml/2006/main">
                  <a:graphicData uri="http://schemas.microsoft.com/office/word/2010/wordprocessingShape">
                    <wps:wsp>
                      <wps:cNvSpPr/>
                      <wps:spPr>
                        <a:xfrm>
                          <a:off x="0" y="0"/>
                          <a:ext cx="648164" cy="25248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B2A730" id="Retângulo 40" o:spid="_x0000_s1026" style="position:absolute;margin-left:215.15pt;margin-top:147.75pt;width:51.05pt;height:19.9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" filled="f" strokecolor="red" strokeweight="1pt"/>
            </w:pict>
          </mc:Fallback>
        </mc:AlternateContent>
      </w:r>
      <w:r>
        <w:rPr>
          <w:noProof/>
          <w:lang w:eastAsia="pt-BR"/>
        </w:rPr>
        <mc:AlternateContent>
          <mc:Choice Requires="wps">
            <w:drawing>
              <wp:anchor distT="0" distB="0" distL="114300" distR="114300" simplePos="0" relativeHeight="252005376" behindDoc="0" locked="0" layoutInCell="1" allowOverlap="1">
                <wp:simplePos x="0" y="0"/>
                <wp:positionH relativeFrom="column">
                  <wp:posOffset>1074591</wp:posOffset>
                </wp:positionH>
                <wp:positionV relativeFrom="paragraph">
                  <wp:posOffset>539560</wp:posOffset>
                </wp:positionV>
                <wp:extent cx="211540" cy="95535"/>
                <wp:effectExtent l="0" t="0" r="17145" b="19050"/>
                <wp:wrapNone/>
                <wp:docPr id="39" name="Retângulo 39"/>
                <wp:cNvGraphicFramePr/>
                <a:graphic xmlns:a="http://schemas.openxmlformats.org/drawingml/2006/main">
                  <a:graphicData uri="http://schemas.microsoft.com/office/word/2010/wordprocessingShape">
                    <wps:wsp>
                      <wps:cNvSpPr/>
                      <wps:spPr>
                        <a:xfrm>
                          <a:off x="0" y="0"/>
                          <a:ext cx="211540" cy="955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254969" id="Retângulo 39" o:spid="_x0000_s1026" style="position:absolute;margin-left:84.6pt;margin-top:42.5pt;width:16.65pt;height:7.5pt;z-index:25200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" fillcolor="white [3212]" strokecolor="white [3212]" strokeweight="1pt"/>
            </w:pict>
          </mc:Fallback>
        </mc:AlternateContent>
      </w:r>
      <w:r>
        <w:rPr>
          <w:noProof/>
          <w:lang w:eastAsia="pt-BR"/>
        </w:rPr>
        <w:drawing>
          <wp:inline distT="0" distB="0" distL="0" distR="0" wp14:anchorId="565A6862" wp14:editId="22AB8B05">
            <wp:extent cx="6120130" cy="2021205"/>
            <wp:effectExtent l="152400" t="152400" r="356870" b="360045"/>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20130" cy="2021205"/>
                    </a:xfrm>
                    <a:prstGeom prst="rect">
                      <a:avLst/>
                    </a:prstGeom>
                    <a:ln>
                      <a:noFill/>
                    </a:ln>
                    <a:effectLst>
                      <a:outerShdw blurRad="292100" dist="139700" dir="2700000" algn="tl" rotWithShape="0">
                        <a:srgbClr val="333333">
                          <a:alpha val="65000"/>
                        </a:srgbClr>
                      </a:outerShdw>
                    </a:effectLst>
                  </pic:spPr>
                </pic:pic>
              </a:graphicData>
            </a:graphic>
          </wp:inline>
        </w:drawing>
      </w:r>
    </w:p>
    <w:p w:rsidR="001A676F" w:rsidRPr="004E67BC" w:rsidRDefault="001A676F" w:rsidP="001A676F">
      <w:pPr>
        <w:rPr>
          <w:u w:val="single"/>
        </w:rPr>
      </w:pPr>
      <w:r w:rsidRPr="002B4889">
        <w:rPr>
          <w:b/>
          <w:color w:val="0F6FC6" w:themeColor="accent1"/>
        </w:rPr>
        <w:t>3º PASSO</w:t>
      </w:r>
      <w:r w:rsidRPr="002B4889">
        <w:rPr>
          <w:color w:val="0F6FC6" w:themeColor="accent1"/>
        </w:rPr>
        <w:t xml:space="preserve">: </w:t>
      </w:r>
      <w:r w:rsidRPr="001A676F">
        <w:rPr>
          <w:b/>
        </w:rPr>
        <w:t>Monitorar o Saldo das Fontes de Recursos</w:t>
      </w:r>
    </w:p>
    <w:p w:rsidR="001A676F" w:rsidRDefault="001A676F" w:rsidP="001A676F">
      <w:r w:rsidRPr="004E67BC">
        <w:t>A opção “</w:t>
      </w:r>
      <w:r>
        <w:t>Listar Cota Orçamentária</w:t>
      </w:r>
      <w:r w:rsidRPr="004E67BC">
        <w:t>”</w:t>
      </w:r>
      <w:r>
        <w:t>, do módulo Lei Orçamentária Anual,</w:t>
      </w:r>
      <w:r w:rsidRPr="004E67BC">
        <w:t xml:space="preserve"> permite que o usuário consulte e monitore o saldo das cotas orçamentárias por fonte de recurso. Para fazer essa consulta, o usuário deverá seguir os passos a seguir:</w:t>
      </w:r>
    </w:p>
    <w:p w:rsidR="00A838CA" w:rsidRDefault="0081651D" w:rsidP="0081651D">
      <w:pPr>
        <w:ind w:firstLine="0"/>
        <w:jc w:val="center"/>
      </w:pPr>
      <w:r>
        <w:rPr>
          <w:noProof/>
          <w:lang w:eastAsia="pt-BR"/>
        </w:rPr>
        <mc:AlternateContent>
          <mc:Choice Requires="wps">
            <w:drawing>
              <wp:anchor distT="0" distB="0" distL="114300" distR="114300" simplePos="0" relativeHeight="252004352" behindDoc="0" locked="0" layoutInCell="1" allowOverlap="1">
                <wp:simplePos x="0" y="0"/>
                <wp:positionH relativeFrom="column">
                  <wp:posOffset>2352201</wp:posOffset>
                </wp:positionH>
                <wp:positionV relativeFrom="paragraph">
                  <wp:posOffset>338455</wp:posOffset>
                </wp:positionV>
                <wp:extent cx="868680" cy="165735"/>
                <wp:effectExtent l="0" t="0" r="26670" b="24765"/>
                <wp:wrapNone/>
                <wp:docPr id="37" name="Retângulo 37"/>
                <wp:cNvGraphicFramePr/>
                <a:graphic xmlns:a="http://schemas.openxmlformats.org/drawingml/2006/main">
                  <a:graphicData uri="http://schemas.microsoft.com/office/word/2010/wordprocessingShape">
                    <wps:wsp>
                      <wps:cNvSpPr/>
                      <wps:spPr>
                        <a:xfrm>
                          <a:off x="0" y="0"/>
                          <a:ext cx="868680" cy="16573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22430B" id="Retângulo 37" o:spid="_x0000_s1026" style="position:absolute;margin-left:185.2pt;margin-top:26.65pt;width:68.4pt;height:13.05pt;z-index:25200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" filled="f" strokecolor="red" strokeweight="1pt"/>
            </w:pict>
          </mc:Fallback>
        </mc:AlternateContent>
      </w:r>
      <w:r>
        <w:rPr>
          <w:noProof/>
          <w:lang w:eastAsia="pt-BR"/>
        </w:rPr>
        <mc:AlternateContent>
          <mc:Choice Requires="wps">
            <w:drawing>
              <wp:anchor distT="0" distB="0" distL="114300" distR="114300" simplePos="0" relativeHeight="252003328" behindDoc="0" locked="0" layoutInCell="1" allowOverlap="1">
                <wp:simplePos x="0" y="0"/>
                <wp:positionH relativeFrom="column">
                  <wp:posOffset>2794000</wp:posOffset>
                </wp:positionH>
                <wp:positionV relativeFrom="paragraph">
                  <wp:posOffset>392904</wp:posOffset>
                </wp:positionV>
                <wp:extent cx="190500" cy="69850"/>
                <wp:effectExtent l="0" t="0" r="19050" b="25400"/>
                <wp:wrapNone/>
                <wp:docPr id="36" name="Retângulo 36"/>
                <wp:cNvGraphicFramePr/>
                <a:graphic xmlns:a="http://schemas.openxmlformats.org/drawingml/2006/main">
                  <a:graphicData uri="http://schemas.microsoft.com/office/word/2010/wordprocessingShape">
                    <wps:wsp>
                      <wps:cNvSpPr/>
                      <wps:spPr>
                        <a:xfrm>
                          <a:off x="0" y="0"/>
                          <a:ext cx="190500" cy="698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E80173" id="Retângulo 36" o:spid="_x0000_s1026" style="position:absolute;margin-left:220pt;margin-top:30.95pt;width:15pt;height:5.5pt;z-index:25200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" fillcolor="white [3212]" strokecolor="white [3212]" strokeweight="1pt"/>
            </w:pict>
          </mc:Fallback>
        </mc:AlternateContent>
      </w:r>
      <w:r w:rsidR="00753901">
        <w:rPr>
          <w:noProof/>
          <w:lang w:eastAsia="pt-BR"/>
        </w:rPr>
        <w:drawing>
          <wp:inline distT="0" distB="0" distL="0" distR="0">
            <wp:extent cx="5410879" cy="4073630"/>
            <wp:effectExtent l="152400" t="152400" r="361315" b="365125"/>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23483" cy="4083119"/>
                    </a:xfrm>
                    <a:prstGeom prst="rect">
                      <a:avLst/>
                    </a:prstGeom>
                    <a:ln>
                      <a:noFill/>
                    </a:ln>
                    <a:effectLst>
                      <a:outerShdw blurRad="292100" dist="139700" dir="2700000" algn="tl" rotWithShape="0">
                        <a:srgbClr val="333333">
                          <a:alpha val="65000"/>
                        </a:srgbClr>
                      </a:outerShdw>
                    </a:effectLst>
                  </pic:spPr>
                </pic:pic>
              </a:graphicData>
            </a:graphic>
          </wp:inline>
        </w:drawing>
      </w:r>
    </w:p>
    <w:p w:rsidR="001A676F" w:rsidRDefault="001A676F" w:rsidP="001A676F">
      <w:r w:rsidRPr="001A676F">
        <w:lastRenderedPageBreak/>
        <w:t>Para consultar as informações já inseridas, o usuário deverá selecionar a funcionalidade “Listar Fixação da Despesa”, nas opções de “Consulta” do Módulo “Lei Orçamentária Anual”, conforme tela a seguir:</w:t>
      </w:r>
    </w:p>
    <w:p w:rsidR="001A676F" w:rsidRDefault="001A676F" w:rsidP="001A676F">
      <w:r>
        <w:rPr>
          <w:noProof/>
          <w:lang w:eastAsia="pt-BR"/>
        </w:rPr>
        <w:drawing>
          <wp:inline distT="0" distB="0" distL="0" distR="0" wp14:anchorId="5E0041F5" wp14:editId="4AEF3AA8">
            <wp:extent cx="5279366" cy="2253126"/>
            <wp:effectExtent l="152400" t="171450" r="340995" b="35687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1">
                      <a:extLst>
                        <a:ext uri="{28A0092B-C50C-407E-A947-70E740481C1C}">
                          <a14:useLocalDpi xmlns:a14="http://schemas.microsoft.com/office/drawing/2010/main" val="0"/>
                        </a:ext>
                      </a:extLst>
                    </a:blip>
                    <a:srcRect t="13236"/>
                    <a:stretch/>
                  </pic:blipFill>
                  <pic:spPr bwMode="auto">
                    <a:xfrm>
                      <a:off x="0" y="0"/>
                      <a:ext cx="5286293" cy="225608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1A676F" w:rsidRDefault="001A676F" w:rsidP="00753901">
      <w:r w:rsidRPr="001A676F">
        <w:t>Na funcionalidade “Listar Fixação Despesa”, o usuário poderá selecionar o registro desejado por meio de uma lista auxiliar. A despesa fixada poderá ser listada por subação, ação, fonte de recursos e natureza da despesa</w:t>
      </w:r>
      <w:r w:rsidR="00753901">
        <w:t>.</w:t>
      </w:r>
      <w:r w:rsidR="00CA0E09" w:rsidRPr="00CA0E09">
        <w:rPr>
          <w:noProof/>
          <w:lang w:eastAsia="pt-BR"/>
        </w:rPr>
        <w:t xml:space="preserve"> </w:t>
      </w:r>
    </w:p>
    <w:p w:rsidR="00753901" w:rsidRDefault="00753901" w:rsidP="00753901">
      <w:r>
        <w:t>O usuário deverá escolher a opção de consulta desejada, preencher as informações exigidas e imprimir a lista, conforme instruções a seguir:</w:t>
      </w:r>
    </w:p>
    <w:p w:rsidR="00BA0F46" w:rsidRDefault="00BA0F46" w:rsidP="00753901"/>
    <w:p w:rsidR="00753901" w:rsidRDefault="00753901" w:rsidP="00753901">
      <w:pPr>
        <w:pStyle w:val="PargrafodaLista"/>
        <w:numPr>
          <w:ilvl w:val="0"/>
          <w:numId w:val="32"/>
        </w:numPr>
      </w:pPr>
      <w:r>
        <w:t>Unidade Orçamentária: Informar U.O</w:t>
      </w:r>
    </w:p>
    <w:p w:rsidR="00753901" w:rsidRDefault="00753901" w:rsidP="00753901">
      <w:pPr>
        <w:pStyle w:val="PargrafodaLista"/>
        <w:numPr>
          <w:ilvl w:val="0"/>
          <w:numId w:val="32"/>
        </w:numPr>
      </w:pPr>
      <w:r>
        <w:t>Subação: Informar o nº da subação. Caso não saiba o número, deve-se pesquisar (“?”), onde serão listadas as subações pertencentes à U.O. O sistema irá listar subação (código e nome), fonte de recursos, natureza da despesa e valor.</w:t>
      </w:r>
    </w:p>
    <w:p w:rsidR="00753901" w:rsidRDefault="00753901" w:rsidP="00753901">
      <w:pPr>
        <w:pStyle w:val="PargrafodaLista"/>
        <w:numPr>
          <w:ilvl w:val="0"/>
          <w:numId w:val="32"/>
        </w:numPr>
      </w:pPr>
      <w:r>
        <w:t>Quando o relatório apresentar o caractere “*” na coluna “Situação”, significa que o registro está inativado.</w:t>
      </w:r>
    </w:p>
    <w:p w:rsidR="001A676F" w:rsidRDefault="001A676F" w:rsidP="001A676F"/>
    <w:p w:rsidR="00753901" w:rsidRDefault="00753901" w:rsidP="00753901">
      <w:pPr>
        <w:rPr>
          <w:b/>
        </w:rPr>
      </w:pPr>
      <w:r w:rsidRPr="002B4889">
        <w:rPr>
          <w:b/>
          <w:color w:val="0F6FC6" w:themeColor="accent1"/>
        </w:rPr>
        <w:t>4º PASSO</w:t>
      </w:r>
      <w:r w:rsidRPr="002B4889">
        <w:rPr>
          <w:color w:val="0F6FC6" w:themeColor="accent1"/>
        </w:rPr>
        <w:t xml:space="preserve">: </w:t>
      </w:r>
      <w:r>
        <w:rPr>
          <w:b/>
        </w:rPr>
        <w:t>Listar Quadro de Detalhamento da Despesa</w:t>
      </w:r>
    </w:p>
    <w:p w:rsidR="00753901" w:rsidRPr="00753901" w:rsidRDefault="00753901" w:rsidP="00753901">
      <w:r w:rsidRPr="00753901">
        <w:t>Para conhecer detalhadamente como está fixada a despesa em sua Unidade Orçamentária, pela classificação funcional, institucional e programática, o usuário poderá utilizar a funcionalidade “Listar Quadro Detalhamento Despesa”, conforme tela a seguir:</w:t>
      </w:r>
    </w:p>
    <w:p w:rsidR="00D05CDE" w:rsidRDefault="00BA0F46" w:rsidP="00BA0F46">
      <w:pPr>
        <w:ind w:firstLine="0"/>
      </w:pPr>
      <w:r>
        <w:rPr>
          <w:noProof/>
          <w:lang w:eastAsia="pt-BR"/>
        </w:rPr>
        <w:lastRenderedPageBreak/>
        <w:drawing>
          <wp:inline distT="0" distB="0" distL="0" distR="0" wp14:anchorId="6C848FAC" wp14:editId="226264A2">
            <wp:extent cx="6119312" cy="1587260"/>
            <wp:effectExtent l="152400" t="171450" r="358140" b="356235"/>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t="10737" b="49744"/>
                    <a:stretch/>
                  </pic:blipFill>
                  <pic:spPr bwMode="auto">
                    <a:xfrm>
                      <a:off x="0" y="0"/>
                      <a:ext cx="6120130" cy="158747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BA0F46" w:rsidRDefault="00BA0F46" w:rsidP="00CA2398">
      <w:r w:rsidRPr="00BA0F46">
        <w:t>O usuário deverá selecione no campo “Fase” a opção “Unidade Orçamentária” e no campo “Unidade Orçamentária” o código da Unidade Orçamentária que se quer consultar (“Somente”). Após preenchido os campos de consulta, basta pressionar o botão Imprimir e escolher a versão em .PDF (extensão recomendada) para gerar o relatório.</w:t>
      </w:r>
    </w:p>
    <w:p w:rsidR="00BA0F46" w:rsidRDefault="00BA0F46" w:rsidP="00BA0F46">
      <w:pPr>
        <w:rPr>
          <w:b/>
        </w:rPr>
      </w:pPr>
      <w:r w:rsidRPr="002B4889">
        <w:rPr>
          <w:b/>
          <w:color w:val="0F6FC6" w:themeColor="accent1"/>
        </w:rPr>
        <w:t>5º PASSO</w:t>
      </w:r>
      <w:r w:rsidRPr="002B4889">
        <w:rPr>
          <w:color w:val="0F6FC6" w:themeColor="accent1"/>
        </w:rPr>
        <w:t xml:space="preserve">: </w:t>
      </w:r>
      <w:r>
        <w:rPr>
          <w:b/>
        </w:rPr>
        <w:t>Consultar LOA - Despesa</w:t>
      </w:r>
      <w:r w:rsidR="00CA0E09" w:rsidRPr="00CA0E09">
        <w:rPr>
          <w:noProof/>
          <w:lang w:eastAsia="pt-BR"/>
        </w:rPr>
        <w:t xml:space="preserve"> </w:t>
      </w:r>
    </w:p>
    <w:p w:rsidR="00D05CDE" w:rsidRDefault="00BA0F46" w:rsidP="0018477E">
      <w:r w:rsidRPr="00BA0F46">
        <w:t>Essa funcionalidade permite realizar a geração de relatórios sobre a despesa orçamentária da Unidade Orçamentária a partir da seleção de vários critérios.</w:t>
      </w:r>
    </w:p>
    <w:p w:rsidR="00BA0F46" w:rsidRDefault="0081651D" w:rsidP="0081651D">
      <w:pPr>
        <w:ind w:firstLine="0"/>
      </w:pPr>
      <w:r>
        <w:rPr>
          <w:noProof/>
          <w:lang w:eastAsia="pt-BR"/>
        </w:rPr>
        <w:drawing>
          <wp:inline distT="0" distB="0" distL="0" distR="0" wp14:anchorId="59808C2C" wp14:editId="51564BD6">
            <wp:extent cx="5288507" cy="2299112"/>
            <wp:effectExtent l="152400" t="152400" r="369570" b="36830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301142" cy="2304605"/>
                    </a:xfrm>
                    <a:prstGeom prst="rect">
                      <a:avLst/>
                    </a:prstGeom>
                    <a:ln>
                      <a:noFill/>
                    </a:ln>
                    <a:effectLst>
                      <a:outerShdw blurRad="292100" dist="139700" dir="2700000" algn="tl" rotWithShape="0">
                        <a:srgbClr val="333333">
                          <a:alpha val="65000"/>
                        </a:srgbClr>
                      </a:outerShdw>
                    </a:effectLst>
                  </pic:spPr>
                </pic:pic>
              </a:graphicData>
            </a:graphic>
          </wp:inline>
        </w:drawing>
      </w:r>
    </w:p>
    <w:p w:rsidR="00BA0F46" w:rsidRDefault="00BA0F46" w:rsidP="00BA0F46">
      <w:pPr>
        <w:pStyle w:val="PargrafodaLista"/>
        <w:numPr>
          <w:ilvl w:val="0"/>
          <w:numId w:val="35"/>
        </w:numPr>
      </w:pPr>
      <w:r>
        <w:t>Fase: A fase para geração do relatório;</w:t>
      </w:r>
    </w:p>
    <w:p w:rsidR="00BA0F46" w:rsidRDefault="00BA0F46" w:rsidP="00BA0F46">
      <w:pPr>
        <w:pStyle w:val="PargrafodaLista"/>
        <w:numPr>
          <w:ilvl w:val="0"/>
          <w:numId w:val="35"/>
        </w:numPr>
      </w:pPr>
      <w:r>
        <w:t>Nome do relatório: O nome do relatório a ser gerado;</w:t>
      </w:r>
    </w:p>
    <w:p w:rsidR="00BA0F46" w:rsidRDefault="00BA0F46" w:rsidP="00BA0F46">
      <w:pPr>
        <w:pStyle w:val="PargrafodaLista"/>
        <w:numPr>
          <w:ilvl w:val="0"/>
          <w:numId w:val="35"/>
        </w:numPr>
      </w:pPr>
      <w:r>
        <w:t>Adicionar: Critérios de pesquisa e forma de exibição do relatório;</w:t>
      </w:r>
    </w:p>
    <w:p w:rsidR="00BA0F46" w:rsidRDefault="00BA0F46" w:rsidP="00BA0F46">
      <w:pPr>
        <w:pStyle w:val="PargrafodaLista"/>
        <w:numPr>
          <w:ilvl w:val="0"/>
          <w:numId w:val="35"/>
        </w:numPr>
      </w:pPr>
      <w:r>
        <w:t>Coluna: Campo a ser exibido;</w:t>
      </w:r>
    </w:p>
    <w:p w:rsidR="00BA0F46" w:rsidRDefault="00BA0F46" w:rsidP="00BA0F46">
      <w:pPr>
        <w:pStyle w:val="PargrafodaLista"/>
        <w:numPr>
          <w:ilvl w:val="0"/>
          <w:numId w:val="35"/>
        </w:numPr>
      </w:pPr>
      <w:r>
        <w:t>Opção: comparado a (maior, menor, igual, diferente ou todos);</w:t>
      </w:r>
    </w:p>
    <w:p w:rsidR="00BA0F46" w:rsidRDefault="00BA0F46" w:rsidP="00BA0F46">
      <w:pPr>
        <w:pStyle w:val="PargrafodaLista"/>
        <w:numPr>
          <w:ilvl w:val="0"/>
          <w:numId w:val="35"/>
        </w:numPr>
      </w:pPr>
      <w:r>
        <w:t>Valor: a ser comparado; e</w:t>
      </w:r>
    </w:p>
    <w:p w:rsidR="00BA0F46" w:rsidRDefault="00BA0F46" w:rsidP="00BA0F46">
      <w:pPr>
        <w:pStyle w:val="PargrafodaLista"/>
        <w:numPr>
          <w:ilvl w:val="0"/>
          <w:numId w:val="35"/>
        </w:numPr>
      </w:pPr>
      <w:r>
        <w:t>Exibir: (Se o campo deve ou não ser exibido)</w:t>
      </w:r>
    </w:p>
    <w:p w:rsidR="00BA0F46" w:rsidRPr="00BC4CAA" w:rsidRDefault="00BA0F46" w:rsidP="00BA0F46">
      <w:r w:rsidRPr="00BC4CAA">
        <w:t>Os botões Editar e Remover servem para alterar os critérios de exibição e de pesquisa de relatórios.</w:t>
      </w:r>
    </w:p>
    <w:p w:rsidR="00DA7217" w:rsidRDefault="00BA0F46" w:rsidP="00BA0F46">
      <w:r w:rsidRPr="00BC4CAA">
        <w:t>Após preencher todas as informações necessárias e suficientes para a pesquisa, o usuário deverá pressionar o botão “Imprimir”. O sistema apresentará, então, o relatório gerado e poderá ser impresso.</w:t>
      </w:r>
      <w:r w:rsidR="00DA7217">
        <w:br w:type="page"/>
      </w:r>
    </w:p>
    <w:p w:rsidR="00CA0E09" w:rsidRDefault="00CA0E09" w:rsidP="00CA0E09">
      <w:pPr>
        <w:ind w:firstLine="0"/>
      </w:pPr>
      <w:r>
        <w:rPr>
          <w:noProof/>
          <w:lang w:eastAsia="pt-BR"/>
        </w:rPr>
        <w:lastRenderedPageBreak/>
        <w:drawing>
          <wp:anchor distT="0" distB="0" distL="114300" distR="114300" simplePos="0" relativeHeight="251938816" behindDoc="0" locked="0" layoutInCell="1" allowOverlap="1">
            <wp:simplePos x="0" y="0"/>
            <wp:positionH relativeFrom="column">
              <wp:posOffset>-720090</wp:posOffset>
            </wp:positionH>
            <wp:positionV relativeFrom="paragraph">
              <wp:posOffset>0</wp:posOffset>
            </wp:positionV>
            <wp:extent cx="7556500" cy="1525270"/>
            <wp:effectExtent l="0" t="0" r="6350" b="0"/>
            <wp:wrapSquare wrapText="bothSides"/>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cota10.JPG"/>
                    <pic:cNvPicPr/>
                  </pic:nvPicPr>
                  <pic:blipFill>
                    <a:blip r:embed="rId54">
                      <a:extLst>
                        <a:ext uri="{28A0092B-C50C-407E-A947-70E740481C1C}">
                          <a14:useLocalDpi xmlns:a14="http://schemas.microsoft.com/office/drawing/2010/main" val="0"/>
                        </a:ext>
                      </a:extLst>
                    </a:blip>
                    <a:stretch>
                      <a:fillRect/>
                    </a:stretch>
                  </pic:blipFill>
                  <pic:spPr>
                    <a:xfrm>
                      <a:off x="0" y="0"/>
                      <a:ext cx="7556500" cy="1525270"/>
                    </a:xfrm>
                    <a:prstGeom prst="rect">
                      <a:avLst/>
                    </a:prstGeom>
                  </pic:spPr>
                </pic:pic>
              </a:graphicData>
            </a:graphic>
            <wp14:sizeRelH relativeFrom="margin">
              <wp14:pctWidth>0</wp14:pctWidth>
            </wp14:sizeRelH>
          </wp:anchor>
        </w:drawing>
      </w:r>
    </w:p>
    <w:p w:rsidR="00BA0F46" w:rsidRPr="0081651D" w:rsidRDefault="00BA0F46" w:rsidP="00011F9B">
      <w:pPr>
        <w:pStyle w:val="TITULO1"/>
        <w:numPr>
          <w:ilvl w:val="0"/>
          <w:numId w:val="5"/>
        </w:numPr>
        <w:rPr>
          <w:rFonts w:ascii="Ebrima" w:hAnsi="Ebrima"/>
          <w:color w:val="0F6FC6" w:themeColor="accent1"/>
        </w:rPr>
      </w:pPr>
      <w:bookmarkStart w:id="15" w:name="_Toc106119026"/>
      <w:r w:rsidRPr="0081651D">
        <w:rPr>
          <w:rFonts w:ascii="Ebrima" w:hAnsi="Ebrima"/>
          <w:color w:val="0F6FC6" w:themeColor="accent1"/>
        </w:rPr>
        <w:t>CONSOLIDAÇÃO DAS DESPESAS</w:t>
      </w:r>
      <w:bookmarkEnd w:id="15"/>
    </w:p>
    <w:p w:rsidR="00CA0E09" w:rsidRPr="00217C8D" w:rsidRDefault="00CA0E09" w:rsidP="00CA0E09">
      <w:pPr>
        <w:rPr>
          <w:color w:val="FF0000"/>
        </w:rPr>
      </w:pPr>
      <w:r w:rsidRPr="00CA5510">
        <w:t>Após o encerramento do p</w:t>
      </w:r>
      <w:r w:rsidR="00CA5510" w:rsidRPr="00CA5510">
        <w:t>razo para fixação das despesas p</w:t>
      </w:r>
      <w:r w:rsidRPr="00CA5510">
        <w:t>elas Unidades Orçamentárias no Sistema Integrado de Planejamento e Gestão Fiscal (SIGEF), a DIOR iniciará a etapa de consolidação, que consistirá em</w:t>
      </w:r>
      <w:r w:rsidRPr="00217C8D">
        <w:rPr>
          <w:color w:val="FF0000"/>
        </w:rPr>
        <w:t>:</w:t>
      </w:r>
    </w:p>
    <w:p w:rsidR="00CA0E09" w:rsidRDefault="00CA0E09" w:rsidP="00CA0E09">
      <w:pPr>
        <w:pStyle w:val="PargrafodaLista"/>
        <w:numPr>
          <w:ilvl w:val="0"/>
          <w:numId w:val="36"/>
        </w:numPr>
        <w:ind w:left="851"/>
      </w:pPr>
      <w:r>
        <w:t xml:space="preserve">Verificar a consistência entre a cota orçamentária aprovada por GND e a despesa fixada por GND. Quando houver inconsistência, a DIOR solicitará ao órgão que compatibilize a cota e a despesa por GND; </w:t>
      </w:r>
    </w:p>
    <w:p w:rsidR="00CA0E09" w:rsidRDefault="00CA0E09" w:rsidP="00CA0E09">
      <w:pPr>
        <w:pStyle w:val="PargrafodaLista"/>
        <w:numPr>
          <w:ilvl w:val="0"/>
          <w:numId w:val="36"/>
        </w:numPr>
        <w:ind w:left="851"/>
      </w:pPr>
      <w:r>
        <w:t>Análise de compatibilização entre a dotação orçamentária e a meta física das subações;</w:t>
      </w:r>
    </w:p>
    <w:p w:rsidR="00CA0E09" w:rsidRDefault="00CA0E09" w:rsidP="00CA0E09">
      <w:pPr>
        <w:pStyle w:val="PargrafodaLista"/>
        <w:numPr>
          <w:ilvl w:val="0"/>
          <w:numId w:val="36"/>
        </w:numPr>
        <w:ind w:left="851"/>
      </w:pPr>
      <w:r>
        <w:t>Revisão final do cumprimento dos limites e das aplicações mínimas conforme determinações da Constituição Estadual, Lei de Responsabilidade (LRF), Lei de Diretrizes Orçamentárias (LDO) e outras normas;</w:t>
      </w:r>
    </w:p>
    <w:p w:rsidR="00CA0E09" w:rsidRDefault="00CA0E09" w:rsidP="00CA0E09">
      <w:pPr>
        <w:pStyle w:val="PargrafodaLista"/>
        <w:numPr>
          <w:ilvl w:val="0"/>
          <w:numId w:val="36"/>
        </w:numPr>
        <w:ind w:left="851"/>
      </w:pPr>
      <w:r>
        <w:t>Elaboração da exposição de motivos e do Projeto de Lei Orçamentária Anual (PLOA) 202</w:t>
      </w:r>
      <w:r w:rsidR="00CA5510">
        <w:t>4</w:t>
      </w:r>
      <w:r>
        <w:t>; e</w:t>
      </w:r>
    </w:p>
    <w:p w:rsidR="00CA0E09" w:rsidRDefault="00CA0E09" w:rsidP="00CA0E09">
      <w:pPr>
        <w:pStyle w:val="PargrafodaLista"/>
        <w:numPr>
          <w:ilvl w:val="0"/>
          <w:numId w:val="36"/>
        </w:numPr>
        <w:ind w:left="851"/>
      </w:pPr>
      <w:r>
        <w:t>Encaminhamento da peça final à Casa Civil para envio ao Poder Legislativo Estadual.</w:t>
      </w:r>
    </w:p>
    <w:p w:rsidR="00D05CDE" w:rsidRDefault="00CA0E09" w:rsidP="00CA0E09">
      <w:r>
        <w:t>Ressaltamos que em qualquer etapa da consolidação das despesas, informações complementares poderão ser solicitadas pela DIOR às Unidades Orçamentárias.</w:t>
      </w:r>
    </w:p>
    <w:p w:rsidR="00D05CDE" w:rsidRDefault="00D05CDE" w:rsidP="00CA0E09"/>
    <w:p w:rsidR="00DA7217" w:rsidRDefault="00DA7217" w:rsidP="00CA0E09"/>
    <w:p w:rsidR="002E40F6" w:rsidRDefault="002E40F6" w:rsidP="00DA7217">
      <w:r>
        <w:br w:type="page"/>
      </w:r>
    </w:p>
    <w:p w:rsidR="00412689" w:rsidRPr="00320BB6" w:rsidRDefault="00412689" w:rsidP="00320BB6">
      <w:pPr>
        <w:pStyle w:val="TITULO1"/>
        <w:spacing w:line="259" w:lineRule="auto"/>
        <w:ind w:firstLine="0"/>
        <w:rPr>
          <w:sz w:val="18"/>
          <w:szCs w:val="18"/>
        </w:rPr>
      </w:pPr>
    </w:p>
    <w:p w:rsidR="00CA0E09" w:rsidRPr="00AD0C57" w:rsidRDefault="00CA0E09" w:rsidP="00CA0E09">
      <w:pPr>
        <w:pStyle w:val="TITULO1"/>
        <w:numPr>
          <w:ilvl w:val="0"/>
          <w:numId w:val="5"/>
        </w:numPr>
        <w:rPr>
          <w:rFonts w:ascii="Ebrima" w:hAnsi="Ebrima"/>
          <w:color w:val="0F6FC6" w:themeColor="accent1"/>
        </w:rPr>
      </w:pPr>
      <w:bookmarkStart w:id="16" w:name="_Toc106119028"/>
      <w:r w:rsidRPr="00AD0C57">
        <w:rPr>
          <w:rFonts w:ascii="Ebrima" w:hAnsi="Ebrima"/>
          <w:color w:val="0F6FC6" w:themeColor="accent1"/>
        </w:rPr>
        <w:t>DÚVIDAS E ESCLARECIMENTOS</w:t>
      </w:r>
      <w:bookmarkEnd w:id="16"/>
    </w:p>
    <w:p w:rsidR="00F10879" w:rsidRDefault="00F10879" w:rsidP="00CA0E09">
      <w:r>
        <w:t xml:space="preserve">Para o esclarecimento de eventuais dúvidas que surjam a partir das operações de </w:t>
      </w:r>
      <w:r w:rsidR="00D61089">
        <w:t>elaboração da Lei O</w:t>
      </w:r>
      <w:r>
        <w:t>rçamentária</w:t>
      </w:r>
      <w:r w:rsidR="00D61089">
        <w:t xml:space="preserve"> Anual</w:t>
      </w:r>
      <w:r>
        <w:t xml:space="preserve"> das Unidades Orçamentárias, a DIOR põe-se à disposição pelos seguintes canais de comunicação:</w:t>
      </w:r>
    </w:p>
    <w:p w:rsidR="00F10879" w:rsidRDefault="00F10879" w:rsidP="00F10879">
      <w:pPr>
        <w:ind w:firstLine="0"/>
      </w:pPr>
    </w:p>
    <w:p w:rsidR="00F10879" w:rsidRPr="00F10879" w:rsidRDefault="00F10879" w:rsidP="00F10879">
      <w:pPr>
        <w:ind w:firstLine="0"/>
        <w:jc w:val="center"/>
        <w:rPr>
          <w:b/>
        </w:rPr>
      </w:pPr>
      <w:r w:rsidRPr="00F10879">
        <w:rPr>
          <w:b/>
        </w:rPr>
        <w:t>Equipe GEORC/DIOR:</w:t>
      </w:r>
    </w:p>
    <w:p w:rsidR="00F10879" w:rsidRDefault="00DF2161" w:rsidP="00F10879">
      <w:pPr>
        <w:ind w:firstLine="0"/>
        <w:jc w:val="center"/>
      </w:pPr>
      <w:r>
        <w:t>Sandro Luiz Barbosa</w:t>
      </w:r>
      <w:r w:rsidR="003F1E7A">
        <w:t xml:space="preserve"> – (48) 3665.</w:t>
      </w:r>
      <w:r w:rsidR="006700CF">
        <w:t>2692</w:t>
      </w:r>
    </w:p>
    <w:p w:rsidR="00F10879" w:rsidRDefault="003F1E7A" w:rsidP="00F10879">
      <w:pPr>
        <w:ind w:firstLine="0"/>
        <w:jc w:val="center"/>
      </w:pPr>
      <w:r>
        <w:t>Roberto Fialho – (48) 3665.</w:t>
      </w:r>
      <w:r w:rsidR="00F10879">
        <w:t>2514</w:t>
      </w:r>
    </w:p>
    <w:p w:rsidR="00F10879" w:rsidRDefault="00F10879" w:rsidP="00F10879">
      <w:pPr>
        <w:ind w:firstLine="0"/>
        <w:jc w:val="center"/>
      </w:pPr>
      <w:r>
        <w:t>Rosi-Mar</w:t>
      </w:r>
      <w:r w:rsidR="003F1E7A">
        <w:t>i Ramos de Oliveira – (48) 3665.</w:t>
      </w:r>
      <w:r>
        <w:t>2588</w:t>
      </w:r>
    </w:p>
    <w:p w:rsidR="00883D27" w:rsidRDefault="00883D27" w:rsidP="00F10879">
      <w:pPr>
        <w:ind w:firstLine="0"/>
        <w:jc w:val="center"/>
      </w:pPr>
      <w:r>
        <w:t>Giuliano da Silveira Martins – (48) 3665-2673</w:t>
      </w:r>
    </w:p>
    <w:p w:rsidR="00883D27" w:rsidRDefault="00883D27" w:rsidP="00F10879">
      <w:pPr>
        <w:ind w:firstLine="0"/>
        <w:jc w:val="center"/>
      </w:pPr>
      <w:r>
        <w:t>Pedro</w:t>
      </w:r>
      <w:r w:rsidR="00412689">
        <w:t xml:space="preserve"> Coelho </w:t>
      </w:r>
      <w:r>
        <w:t xml:space="preserve">Losso </w:t>
      </w:r>
    </w:p>
    <w:p w:rsidR="00F03727" w:rsidRDefault="00F10879" w:rsidP="00F10879">
      <w:pPr>
        <w:ind w:firstLine="0"/>
        <w:jc w:val="center"/>
      </w:pPr>
      <w:r>
        <w:t xml:space="preserve">E-mail: </w:t>
      </w:r>
      <w:hyperlink r:id="rId55" w:history="1">
        <w:r w:rsidRPr="007A5E7A">
          <w:rPr>
            <w:rStyle w:val="Hyperlink"/>
          </w:rPr>
          <w:t>georc@sef.sc.gov.br</w:t>
        </w:r>
      </w:hyperlink>
    </w:p>
    <w:p w:rsidR="00F10879" w:rsidRDefault="00F10879" w:rsidP="00F10879">
      <w:pPr>
        <w:ind w:firstLine="0"/>
        <w:jc w:val="center"/>
      </w:pPr>
    </w:p>
    <w:sectPr w:rsidR="00F10879" w:rsidSect="001C71F4">
      <w:type w:val="continuous"/>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5FDE" w:rsidRDefault="00195FDE" w:rsidP="005D05F6">
      <w:pPr>
        <w:spacing w:after="0"/>
      </w:pPr>
      <w:r>
        <w:separator/>
      </w:r>
    </w:p>
  </w:endnote>
  <w:endnote w:type="continuationSeparator" w:id="0">
    <w:p w:rsidR="00195FDE" w:rsidRDefault="00195FDE" w:rsidP="005D05F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Ebrima">
    <w:panose1 w:val="02000000000000000000"/>
    <w:charset w:val="00"/>
    <w:family w:val="auto"/>
    <w:pitch w:val="variable"/>
    <w:sig w:usb0="A000005F" w:usb1="02000041" w:usb2="00000800" w:usb3="00000000" w:csb0="00000093" w:csb1="00000000"/>
  </w:font>
  <w:font w:name="Evolventa">
    <w:altName w:val="Century Gothic"/>
    <w:charset w:val="00"/>
    <w:family w:val="swiss"/>
    <w:pitch w:val="variable"/>
    <w:sig w:usb0="8000026F" w:usb1="5000004A" w:usb2="00000000" w:usb3="00000000" w:csb0="00000005" w:csb1="00000000"/>
  </w:font>
  <w:font w:name="Calibri">
    <w:panose1 w:val="020F0502020204030204"/>
    <w:charset w:val="00"/>
    <w:family w:val="swiss"/>
    <w:pitch w:val="variable"/>
    <w:sig w:usb0="E4002EFF" w:usb1="C000247B" w:usb2="00000009" w:usb3="00000000" w:csb0="000001FF" w:csb1="00000000"/>
  </w:font>
  <w:font w:name="Montserrat Light">
    <w:altName w:val="Courier New"/>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tserrat">
    <w:altName w:val="Courier New"/>
    <w:charset w:val="00"/>
    <w:family w:val="auto"/>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5FDE" w:rsidRDefault="00195FDE">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5FDE" w:rsidRDefault="00195FDE">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5FDE" w:rsidRDefault="00195FDE">
    <w:pPr>
      <w:pStyle w:val="Rodap"/>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4514313"/>
      <w:docPartObj>
        <w:docPartGallery w:val="Page Numbers (Bottom of Page)"/>
        <w:docPartUnique/>
      </w:docPartObj>
    </w:sdtPr>
    <w:sdtEndPr>
      <w:rPr>
        <w:color w:val="619F9E"/>
      </w:rPr>
    </w:sdtEndPr>
    <w:sdtContent>
      <w:sdt>
        <w:sdtPr>
          <w:rPr>
            <w:color w:val="619F9E"/>
          </w:rPr>
          <w:id w:val="-1271312139"/>
          <w:docPartObj>
            <w:docPartGallery w:val="Page Numbers (Bottom of Page)"/>
            <w:docPartUnique/>
          </w:docPartObj>
        </w:sdtPr>
        <w:sdtEndPr/>
        <w:sdtContent>
          <w:p w:rsidR="00195FDE" w:rsidRPr="0002461A" w:rsidRDefault="00195FDE" w:rsidP="003D1503">
            <w:pPr>
              <w:pStyle w:val="Cabealho"/>
              <w:ind w:firstLine="0"/>
              <w:jc w:val="right"/>
              <w:rPr>
                <w:color w:val="619F9E"/>
              </w:rPr>
            </w:pPr>
            <w:r w:rsidRPr="006073C7">
              <w:rPr>
                <w:rStyle w:val="PginasChar"/>
                <w:rFonts w:ascii="Evolventa" w:hAnsi="Evolventa"/>
                <w:color w:val="0F6FC6" w:themeColor="accent1"/>
              </w:rPr>
              <w:t xml:space="preserve">Manual Técnico 03 - </w:t>
            </w:r>
            <w:r w:rsidRPr="006073C7">
              <w:rPr>
                <w:color w:val="0F6FC6" w:themeColor="accent1"/>
              </w:rPr>
              <w:t xml:space="preserve">Página </w:t>
            </w:r>
            <w:r w:rsidRPr="006073C7">
              <w:rPr>
                <w:rStyle w:val="PginasChar"/>
                <w:rFonts w:ascii="Evolventa" w:hAnsi="Evolventa"/>
                <w:color w:val="0F6FC6" w:themeColor="accent1"/>
              </w:rPr>
              <w:fldChar w:fldCharType="begin"/>
            </w:r>
            <w:r w:rsidRPr="006073C7">
              <w:rPr>
                <w:rStyle w:val="PginasChar"/>
                <w:rFonts w:ascii="Evolventa" w:hAnsi="Evolventa"/>
                <w:color w:val="0F6FC6" w:themeColor="accent1"/>
              </w:rPr>
              <w:instrText>PAGE   \* MERGEFORMAT</w:instrText>
            </w:r>
            <w:r w:rsidRPr="006073C7">
              <w:rPr>
                <w:rStyle w:val="PginasChar"/>
                <w:rFonts w:ascii="Evolventa" w:hAnsi="Evolventa"/>
                <w:color w:val="0F6FC6" w:themeColor="accent1"/>
              </w:rPr>
              <w:fldChar w:fldCharType="separate"/>
            </w:r>
            <w:r w:rsidR="00D7544B">
              <w:rPr>
                <w:rStyle w:val="PginasChar"/>
                <w:rFonts w:ascii="Evolventa" w:hAnsi="Evolventa"/>
                <w:noProof/>
                <w:color w:val="0F6FC6" w:themeColor="accent1"/>
              </w:rPr>
              <w:t>8</w:t>
            </w:r>
            <w:r w:rsidRPr="006073C7">
              <w:rPr>
                <w:rStyle w:val="PginasChar"/>
                <w:rFonts w:ascii="Evolventa" w:hAnsi="Evolventa"/>
                <w:color w:val="0F6FC6" w:themeColor="accent1"/>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4997117"/>
      <w:docPartObj>
        <w:docPartGallery w:val="Page Numbers (Bottom of Page)"/>
        <w:docPartUnique/>
      </w:docPartObj>
    </w:sdtPr>
    <w:sdtEndPr/>
    <w:sdtContent>
      <w:p w:rsidR="00195FDE" w:rsidRDefault="00195FDE">
        <w:pPr>
          <w:pStyle w:val="Rodap"/>
        </w:pPr>
        <w:r w:rsidRPr="005756C5">
          <w:rPr>
            <w:rStyle w:val="PginasChar"/>
          </w:rPr>
          <w:fldChar w:fldCharType="begin"/>
        </w:r>
        <w:r w:rsidRPr="005756C5">
          <w:rPr>
            <w:rStyle w:val="PginasChar"/>
          </w:rPr>
          <w:instrText>PAGE   \* MERGEFORMAT</w:instrText>
        </w:r>
        <w:r w:rsidRPr="005756C5">
          <w:rPr>
            <w:rStyle w:val="PginasChar"/>
          </w:rPr>
          <w:fldChar w:fldCharType="separate"/>
        </w:r>
        <w:r>
          <w:rPr>
            <w:rStyle w:val="PginasChar"/>
            <w:noProof/>
          </w:rPr>
          <w:t>3</w:t>
        </w:r>
        <w:r w:rsidRPr="005756C5">
          <w:rPr>
            <w:rStyle w:val="PginasChar"/>
          </w:rPr>
          <w:fldChar w:fldCharType="end"/>
        </w:r>
        <w:r w:rsidRPr="005756C5">
          <w:rPr>
            <w:rStyle w:val="PginasChar"/>
          </w:rPr>
          <w:t>|</w:t>
        </w:r>
        <w:r>
          <w:rPr>
            <w:rStyle w:val="PginasChar"/>
          </w:rPr>
          <w:t xml:space="preserve"> Manual Técnico 001</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5FDE" w:rsidRDefault="00195FDE" w:rsidP="005D05F6">
      <w:pPr>
        <w:spacing w:after="0"/>
      </w:pPr>
      <w:r>
        <w:separator/>
      </w:r>
    </w:p>
  </w:footnote>
  <w:footnote w:type="continuationSeparator" w:id="0">
    <w:p w:rsidR="00195FDE" w:rsidRDefault="00195FDE" w:rsidP="005D05F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5FDE" w:rsidRDefault="00195FDE">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5FDE" w:rsidRDefault="00195FDE" w:rsidP="008B1595">
    <w:pPr>
      <w:pStyle w:val="Pginas"/>
      <w:rPr>
        <w:rStyle w:val="PginasChar"/>
        <w:color w:val="6FB7B8"/>
        <w:sz w:val="20"/>
      </w:rPr>
    </w:pPr>
  </w:p>
  <w:p w:rsidR="00195FDE" w:rsidRPr="008B1595" w:rsidRDefault="00195FDE" w:rsidP="008B1595">
    <w:pPr>
      <w:pStyle w:val="Pginas"/>
      <w:rPr>
        <w:color w:val="6FB7B8"/>
        <w:sz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5FDE" w:rsidRDefault="00195FDE">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5FDE" w:rsidRPr="006073C7" w:rsidRDefault="00195FDE" w:rsidP="00E75F95">
    <w:pPr>
      <w:pStyle w:val="Pginas"/>
      <w:ind w:firstLine="0"/>
      <w:rPr>
        <w:rFonts w:ascii="Evolventa" w:hAnsi="Evolventa"/>
        <w:color w:val="0F6FC6" w:themeColor="accent1"/>
        <w:sz w:val="20"/>
      </w:rPr>
    </w:pPr>
    <w:r w:rsidRPr="006073C7">
      <w:rPr>
        <w:rFonts w:ascii="Evolventa" w:hAnsi="Evolventa"/>
        <w:color w:val="0F6FC6" w:themeColor="accent1"/>
        <w:sz w:val="20"/>
      </w:rPr>
      <w:t>LEI ORÇAMENTÁRIA ANUAL 202</w:t>
    </w:r>
    <w:r>
      <w:rPr>
        <w:rFonts w:ascii="Evolventa" w:hAnsi="Evolventa"/>
        <w:color w:val="0F6FC6" w:themeColor="accent1"/>
        <w:sz w:val="20"/>
      </w:rPr>
      <w:t>4</w:t>
    </w:r>
  </w:p>
  <w:p w:rsidR="00195FDE" w:rsidRDefault="00195FDE" w:rsidP="00E75F95">
    <w:pPr>
      <w:pStyle w:val="Pginas"/>
      <w:ind w:firstLine="0"/>
      <w:rPr>
        <w:rStyle w:val="PginasChar"/>
        <w:rFonts w:ascii="Evolventa" w:hAnsi="Evolventa"/>
        <w:color w:val="0F6FC6" w:themeColor="accent1"/>
        <w:sz w:val="20"/>
      </w:rPr>
    </w:pPr>
    <w:r w:rsidRPr="006073C7">
      <w:rPr>
        <w:rStyle w:val="PginasChar"/>
        <w:rFonts w:ascii="Evolventa" w:hAnsi="Evolventa"/>
        <w:color w:val="0F6FC6" w:themeColor="accent1"/>
        <w:sz w:val="20"/>
      </w:rPr>
      <w:t>Cotas Orçamentárias e Fixação da Despesa para o Exercício de 202</w:t>
    </w:r>
    <w:r>
      <w:rPr>
        <w:rStyle w:val="PginasChar"/>
        <w:rFonts w:ascii="Evolventa" w:hAnsi="Evolventa"/>
        <w:color w:val="0F6FC6" w:themeColor="accent1"/>
        <w:sz w:val="20"/>
      </w:rPr>
      <w:t>4</w:t>
    </w:r>
  </w:p>
  <w:p w:rsidR="00195FDE" w:rsidRDefault="00195FDE" w:rsidP="008B1595">
    <w:pPr>
      <w:pStyle w:val="Pginas"/>
      <w:rPr>
        <w:rStyle w:val="PginasChar"/>
        <w:color w:val="6FB7B8"/>
        <w:sz w:val="20"/>
      </w:rPr>
    </w:pPr>
  </w:p>
  <w:p w:rsidR="00195FDE" w:rsidRPr="008B1595" w:rsidRDefault="00195FDE" w:rsidP="008B1595">
    <w:pPr>
      <w:pStyle w:val="Pginas"/>
      <w:rPr>
        <w:color w:val="6FB7B8"/>
        <w:sz w:val="20"/>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5FDE" w:rsidRDefault="00195FDE" w:rsidP="005756C5">
    <w:pPr>
      <w:pStyle w:val="Pginas"/>
      <w:rPr>
        <w:color w:val="6FB7B8"/>
        <w:sz w:val="20"/>
      </w:rPr>
    </w:pPr>
    <w:r w:rsidRPr="008B1595">
      <w:rPr>
        <w:color w:val="6FB7B8"/>
        <w:sz w:val="20"/>
      </w:rPr>
      <w:t>LEI ORÇAMENTÁRIA ANUAL 2022</w:t>
    </w:r>
  </w:p>
  <w:p w:rsidR="00195FDE" w:rsidRDefault="00195FDE" w:rsidP="005756C5">
    <w:pPr>
      <w:pStyle w:val="Pginas"/>
      <w:rPr>
        <w:rStyle w:val="PginasChar"/>
        <w:color w:val="6FB7B8"/>
        <w:sz w:val="20"/>
      </w:rPr>
    </w:pPr>
    <w:r w:rsidRPr="00D954F0">
      <w:rPr>
        <w:rStyle w:val="PginasChar"/>
        <w:color w:val="6FB7B8"/>
        <w:sz w:val="20"/>
      </w:rPr>
      <w:t xml:space="preserve">Orientações para a elaboração da </w:t>
    </w:r>
    <w:r>
      <w:rPr>
        <w:rStyle w:val="PginasChar"/>
        <w:color w:val="6FB7B8"/>
        <w:sz w:val="20"/>
      </w:rPr>
      <w:t>P</w:t>
    </w:r>
    <w:r w:rsidRPr="00D954F0">
      <w:rPr>
        <w:rStyle w:val="PginasChar"/>
        <w:color w:val="6FB7B8"/>
        <w:sz w:val="20"/>
      </w:rPr>
      <w:t xml:space="preserve">roposta </w:t>
    </w:r>
    <w:r>
      <w:rPr>
        <w:rStyle w:val="PginasChar"/>
        <w:color w:val="6FB7B8"/>
        <w:sz w:val="20"/>
      </w:rPr>
      <w:t>O</w:t>
    </w:r>
    <w:r w:rsidRPr="00D954F0">
      <w:rPr>
        <w:rStyle w:val="PginasChar"/>
        <w:color w:val="6FB7B8"/>
        <w:sz w:val="20"/>
      </w:rPr>
      <w:t>rçamentária do Estado</w:t>
    </w:r>
    <w:r>
      <w:rPr>
        <w:rStyle w:val="PginasChar"/>
        <w:color w:val="6FB7B8"/>
        <w:sz w:val="20"/>
      </w:rPr>
      <w:t xml:space="preserve"> de Santa Catarina</w:t>
    </w:r>
  </w:p>
  <w:p w:rsidR="00195FDE" w:rsidRDefault="00195FDE">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908DD"/>
    <w:multiLevelType w:val="hybridMultilevel"/>
    <w:tmpl w:val="3A8C667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B8A63C2"/>
    <w:multiLevelType w:val="hybridMultilevel"/>
    <w:tmpl w:val="C638CB48"/>
    <w:lvl w:ilvl="0" w:tplc="04160005">
      <w:start w:val="1"/>
      <w:numFmt w:val="bullet"/>
      <w:lvlText w:val=""/>
      <w:lvlJc w:val="left"/>
      <w:pPr>
        <w:ind w:left="1571" w:hanging="360"/>
      </w:pPr>
      <w:rPr>
        <w:rFonts w:ascii="Wingdings" w:hAnsi="Wingdings" w:hint="default"/>
      </w:rPr>
    </w:lvl>
    <w:lvl w:ilvl="1" w:tplc="04160003">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 w15:restartNumberingAfterBreak="0">
    <w:nsid w:val="13902572"/>
    <w:multiLevelType w:val="hybridMultilevel"/>
    <w:tmpl w:val="6F2EAB2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5FB01EA"/>
    <w:multiLevelType w:val="hybridMultilevel"/>
    <w:tmpl w:val="F632A63E"/>
    <w:lvl w:ilvl="0" w:tplc="7B40EC0A">
      <w:start w:val="1"/>
      <w:numFmt w:val="upperLetter"/>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4" w15:restartNumberingAfterBreak="0">
    <w:nsid w:val="174B4676"/>
    <w:multiLevelType w:val="hybridMultilevel"/>
    <w:tmpl w:val="D1A8B430"/>
    <w:lvl w:ilvl="0" w:tplc="04160005">
      <w:start w:val="1"/>
      <w:numFmt w:val="bullet"/>
      <w:lvlText w:val=""/>
      <w:lvlJc w:val="left"/>
      <w:pPr>
        <w:ind w:left="1571" w:hanging="360"/>
      </w:pPr>
      <w:rPr>
        <w:rFonts w:ascii="Wingdings" w:hAnsi="Wingdings"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5" w15:restartNumberingAfterBreak="0">
    <w:nsid w:val="19C37749"/>
    <w:multiLevelType w:val="hybridMultilevel"/>
    <w:tmpl w:val="0AF84484"/>
    <w:lvl w:ilvl="0" w:tplc="04160005">
      <w:start w:val="1"/>
      <w:numFmt w:val="bullet"/>
      <w:lvlText w:val=""/>
      <w:lvlJc w:val="left"/>
      <w:pPr>
        <w:ind w:left="1571" w:hanging="360"/>
      </w:pPr>
      <w:rPr>
        <w:rFonts w:ascii="Wingdings" w:hAnsi="Wingdings"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6" w15:restartNumberingAfterBreak="0">
    <w:nsid w:val="1AE7416E"/>
    <w:multiLevelType w:val="hybridMultilevel"/>
    <w:tmpl w:val="AE80EB7A"/>
    <w:lvl w:ilvl="0" w:tplc="04160005">
      <w:start w:val="1"/>
      <w:numFmt w:val="bullet"/>
      <w:lvlText w:val=""/>
      <w:lvlJc w:val="left"/>
      <w:pPr>
        <w:ind w:left="1406" w:hanging="555"/>
      </w:pPr>
      <w:rPr>
        <w:rFonts w:ascii="Wingdings" w:hAnsi="Wingdings" w:hint="default"/>
      </w:rPr>
    </w:lvl>
    <w:lvl w:ilvl="1" w:tplc="04160003" w:tentative="1">
      <w:start w:val="1"/>
      <w:numFmt w:val="bullet"/>
      <w:lvlText w:val="o"/>
      <w:lvlJc w:val="left"/>
      <w:pPr>
        <w:ind w:left="1931" w:hanging="360"/>
      </w:pPr>
      <w:rPr>
        <w:rFonts w:ascii="Courier New" w:hAnsi="Courier New" w:cs="Courier New" w:hint="default"/>
      </w:rPr>
    </w:lvl>
    <w:lvl w:ilvl="2" w:tplc="04160005" w:tentative="1">
      <w:start w:val="1"/>
      <w:numFmt w:val="bullet"/>
      <w:lvlText w:val=""/>
      <w:lvlJc w:val="left"/>
      <w:pPr>
        <w:ind w:left="2651" w:hanging="360"/>
      </w:pPr>
      <w:rPr>
        <w:rFonts w:ascii="Wingdings" w:hAnsi="Wingdings" w:hint="default"/>
      </w:rPr>
    </w:lvl>
    <w:lvl w:ilvl="3" w:tplc="04160001" w:tentative="1">
      <w:start w:val="1"/>
      <w:numFmt w:val="bullet"/>
      <w:lvlText w:val=""/>
      <w:lvlJc w:val="left"/>
      <w:pPr>
        <w:ind w:left="3371" w:hanging="360"/>
      </w:pPr>
      <w:rPr>
        <w:rFonts w:ascii="Symbol" w:hAnsi="Symbol" w:hint="default"/>
      </w:rPr>
    </w:lvl>
    <w:lvl w:ilvl="4" w:tplc="04160003" w:tentative="1">
      <w:start w:val="1"/>
      <w:numFmt w:val="bullet"/>
      <w:lvlText w:val="o"/>
      <w:lvlJc w:val="left"/>
      <w:pPr>
        <w:ind w:left="4091" w:hanging="360"/>
      </w:pPr>
      <w:rPr>
        <w:rFonts w:ascii="Courier New" w:hAnsi="Courier New" w:cs="Courier New" w:hint="default"/>
      </w:rPr>
    </w:lvl>
    <w:lvl w:ilvl="5" w:tplc="04160005" w:tentative="1">
      <w:start w:val="1"/>
      <w:numFmt w:val="bullet"/>
      <w:lvlText w:val=""/>
      <w:lvlJc w:val="left"/>
      <w:pPr>
        <w:ind w:left="4811" w:hanging="360"/>
      </w:pPr>
      <w:rPr>
        <w:rFonts w:ascii="Wingdings" w:hAnsi="Wingdings" w:hint="default"/>
      </w:rPr>
    </w:lvl>
    <w:lvl w:ilvl="6" w:tplc="04160001" w:tentative="1">
      <w:start w:val="1"/>
      <w:numFmt w:val="bullet"/>
      <w:lvlText w:val=""/>
      <w:lvlJc w:val="left"/>
      <w:pPr>
        <w:ind w:left="5531" w:hanging="360"/>
      </w:pPr>
      <w:rPr>
        <w:rFonts w:ascii="Symbol" w:hAnsi="Symbol" w:hint="default"/>
      </w:rPr>
    </w:lvl>
    <w:lvl w:ilvl="7" w:tplc="04160003" w:tentative="1">
      <w:start w:val="1"/>
      <w:numFmt w:val="bullet"/>
      <w:lvlText w:val="o"/>
      <w:lvlJc w:val="left"/>
      <w:pPr>
        <w:ind w:left="6251" w:hanging="360"/>
      </w:pPr>
      <w:rPr>
        <w:rFonts w:ascii="Courier New" w:hAnsi="Courier New" w:cs="Courier New" w:hint="default"/>
      </w:rPr>
    </w:lvl>
    <w:lvl w:ilvl="8" w:tplc="04160005" w:tentative="1">
      <w:start w:val="1"/>
      <w:numFmt w:val="bullet"/>
      <w:lvlText w:val=""/>
      <w:lvlJc w:val="left"/>
      <w:pPr>
        <w:ind w:left="6971" w:hanging="360"/>
      </w:pPr>
      <w:rPr>
        <w:rFonts w:ascii="Wingdings" w:hAnsi="Wingdings" w:hint="default"/>
      </w:rPr>
    </w:lvl>
  </w:abstractNum>
  <w:abstractNum w:abstractNumId="7" w15:restartNumberingAfterBreak="0">
    <w:nsid w:val="204E13DE"/>
    <w:multiLevelType w:val="hybridMultilevel"/>
    <w:tmpl w:val="C010AE32"/>
    <w:lvl w:ilvl="0" w:tplc="213086A6">
      <w:start w:val="1"/>
      <w:numFmt w:val="lowerLetter"/>
      <w:lvlText w:val="%1)"/>
      <w:lvlJc w:val="left"/>
      <w:pPr>
        <w:ind w:left="1211" w:hanging="360"/>
      </w:pPr>
      <w:rPr>
        <w:rFonts w:hint="default"/>
        <w:b/>
        <w:color w:val="auto"/>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8" w15:restartNumberingAfterBreak="0">
    <w:nsid w:val="20744898"/>
    <w:multiLevelType w:val="hybridMultilevel"/>
    <w:tmpl w:val="4D5AFC68"/>
    <w:lvl w:ilvl="0" w:tplc="04160005">
      <w:start w:val="1"/>
      <w:numFmt w:val="bullet"/>
      <w:lvlText w:val=""/>
      <w:lvlJc w:val="left"/>
      <w:pPr>
        <w:ind w:left="1571" w:hanging="360"/>
      </w:pPr>
      <w:rPr>
        <w:rFonts w:ascii="Wingdings" w:hAnsi="Wingdings"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9" w15:restartNumberingAfterBreak="0">
    <w:nsid w:val="2AA53DD8"/>
    <w:multiLevelType w:val="hybridMultilevel"/>
    <w:tmpl w:val="776E3128"/>
    <w:lvl w:ilvl="0" w:tplc="2D76927C">
      <w:start w:val="1"/>
      <w:numFmt w:val="upperRoman"/>
      <w:lvlText w:val="%1."/>
      <w:lvlJc w:val="right"/>
      <w:pPr>
        <w:ind w:left="1211" w:hanging="360"/>
      </w:pPr>
      <w:rPr>
        <w:rFonts w:hint="default"/>
        <w:b/>
        <w:color w:val="619F9E"/>
      </w:rPr>
    </w:lvl>
    <w:lvl w:ilvl="1" w:tplc="04160019">
      <w:start w:val="1"/>
      <w:numFmt w:val="lowerLetter"/>
      <w:lvlText w:val="%2."/>
      <w:lvlJc w:val="left"/>
      <w:pPr>
        <w:ind w:left="1931" w:hanging="360"/>
      </w:pPr>
    </w:lvl>
    <w:lvl w:ilvl="2" w:tplc="0416001B">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10" w15:restartNumberingAfterBreak="0">
    <w:nsid w:val="308E6D00"/>
    <w:multiLevelType w:val="hybridMultilevel"/>
    <w:tmpl w:val="EE84E4F4"/>
    <w:lvl w:ilvl="0" w:tplc="04160005">
      <w:start w:val="1"/>
      <w:numFmt w:val="bullet"/>
      <w:lvlText w:val=""/>
      <w:lvlJc w:val="left"/>
      <w:pPr>
        <w:ind w:left="1571" w:hanging="360"/>
      </w:pPr>
      <w:rPr>
        <w:rFonts w:ascii="Wingdings" w:hAnsi="Wingdings"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1" w15:restartNumberingAfterBreak="0">
    <w:nsid w:val="33F8757A"/>
    <w:multiLevelType w:val="hybridMultilevel"/>
    <w:tmpl w:val="59FA258A"/>
    <w:lvl w:ilvl="0" w:tplc="04160015">
      <w:start w:val="1"/>
      <w:numFmt w:val="upp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34776495"/>
    <w:multiLevelType w:val="multilevel"/>
    <w:tmpl w:val="3D3EEC32"/>
    <w:lvl w:ilvl="0">
      <w:start w:val="1"/>
      <w:numFmt w:val="decimal"/>
      <w:lvlText w:val="%1."/>
      <w:lvlJc w:val="left"/>
      <w:pPr>
        <w:ind w:left="360" w:hanging="360"/>
      </w:pPr>
    </w:lvl>
    <w:lvl w:ilvl="1">
      <w:start w:val="1"/>
      <w:numFmt w:val="decimal"/>
      <w:pStyle w:val="Titlulo2"/>
      <w:lvlText w:val="%1.%2."/>
      <w:lvlJc w:val="left"/>
      <w:pPr>
        <w:ind w:left="432" w:hanging="432"/>
      </w:pPr>
      <w:rPr>
        <w:rFonts w:ascii="Ebrima" w:hAnsi="Ebrima" w:hint="default"/>
        <w:b/>
        <w:color w:val="0F6FC6" w:themeColor="accent1"/>
        <w:sz w:val="26"/>
        <w:szCs w:val="26"/>
      </w:rPr>
    </w:lvl>
    <w:lvl w:ilvl="2">
      <w:start w:val="1"/>
      <w:numFmt w:val="decimal"/>
      <w:pStyle w:val="Ttulo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4BF5175"/>
    <w:multiLevelType w:val="hybridMultilevel"/>
    <w:tmpl w:val="33B87D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3DA804F4"/>
    <w:multiLevelType w:val="hybridMultilevel"/>
    <w:tmpl w:val="68CE0696"/>
    <w:lvl w:ilvl="0" w:tplc="04160005">
      <w:start w:val="1"/>
      <w:numFmt w:val="bullet"/>
      <w:lvlText w:val=""/>
      <w:lvlJc w:val="left"/>
      <w:pPr>
        <w:ind w:left="1571" w:hanging="360"/>
      </w:pPr>
      <w:rPr>
        <w:rFonts w:ascii="Wingdings" w:hAnsi="Wingdings"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5" w15:restartNumberingAfterBreak="0">
    <w:nsid w:val="487614B8"/>
    <w:multiLevelType w:val="hybridMultilevel"/>
    <w:tmpl w:val="247646E4"/>
    <w:lvl w:ilvl="0" w:tplc="04160005">
      <w:start w:val="1"/>
      <w:numFmt w:val="bullet"/>
      <w:lvlText w:val=""/>
      <w:lvlJc w:val="left"/>
      <w:pPr>
        <w:ind w:left="1571" w:hanging="360"/>
      </w:pPr>
      <w:rPr>
        <w:rFonts w:ascii="Wingdings" w:hAnsi="Wingdings"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6" w15:restartNumberingAfterBreak="0">
    <w:nsid w:val="4C82521A"/>
    <w:multiLevelType w:val="hybridMultilevel"/>
    <w:tmpl w:val="C8168C40"/>
    <w:lvl w:ilvl="0" w:tplc="04160005">
      <w:start w:val="1"/>
      <w:numFmt w:val="bullet"/>
      <w:lvlText w:val=""/>
      <w:lvlJc w:val="left"/>
      <w:pPr>
        <w:ind w:left="1571" w:hanging="360"/>
      </w:pPr>
      <w:rPr>
        <w:rFonts w:ascii="Wingdings" w:hAnsi="Wingdings"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7" w15:restartNumberingAfterBreak="0">
    <w:nsid w:val="4DE80E36"/>
    <w:multiLevelType w:val="hybridMultilevel"/>
    <w:tmpl w:val="BB14690E"/>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516146A9"/>
    <w:multiLevelType w:val="hybridMultilevel"/>
    <w:tmpl w:val="1A7EAF56"/>
    <w:lvl w:ilvl="0" w:tplc="F70C4CA0">
      <w:numFmt w:val="bullet"/>
      <w:lvlText w:val="•"/>
      <w:lvlJc w:val="left"/>
      <w:pPr>
        <w:ind w:left="1065" w:hanging="705"/>
      </w:pPr>
      <w:rPr>
        <w:rFonts w:ascii="Evolventa" w:eastAsiaTheme="minorHAnsi" w:hAnsi="Evolventa"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5EA5363C"/>
    <w:multiLevelType w:val="hybridMultilevel"/>
    <w:tmpl w:val="CFE89D46"/>
    <w:lvl w:ilvl="0" w:tplc="F70C4CA0">
      <w:numFmt w:val="bullet"/>
      <w:lvlText w:val="•"/>
      <w:lvlJc w:val="left"/>
      <w:pPr>
        <w:ind w:left="1065" w:hanging="705"/>
      </w:pPr>
      <w:rPr>
        <w:rFonts w:ascii="Evolventa" w:eastAsiaTheme="minorHAnsi" w:hAnsi="Evolventa"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61B357CE"/>
    <w:multiLevelType w:val="hybridMultilevel"/>
    <w:tmpl w:val="9B5817C6"/>
    <w:lvl w:ilvl="0" w:tplc="F70C4CA0">
      <w:numFmt w:val="bullet"/>
      <w:lvlText w:val="•"/>
      <w:lvlJc w:val="left"/>
      <w:pPr>
        <w:ind w:left="1065" w:hanging="705"/>
      </w:pPr>
      <w:rPr>
        <w:rFonts w:ascii="Evolventa" w:eastAsiaTheme="minorHAnsi" w:hAnsi="Evolventa"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62540EEA"/>
    <w:multiLevelType w:val="hybridMultilevel"/>
    <w:tmpl w:val="B4FA677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62DC5C2D"/>
    <w:multiLevelType w:val="hybridMultilevel"/>
    <w:tmpl w:val="776E3128"/>
    <w:lvl w:ilvl="0" w:tplc="2D76927C">
      <w:start w:val="1"/>
      <w:numFmt w:val="upperRoman"/>
      <w:lvlText w:val="%1."/>
      <w:lvlJc w:val="right"/>
      <w:pPr>
        <w:ind w:left="1211" w:hanging="360"/>
      </w:pPr>
      <w:rPr>
        <w:rFonts w:hint="default"/>
        <w:b/>
        <w:color w:val="619F9E"/>
      </w:rPr>
    </w:lvl>
    <w:lvl w:ilvl="1" w:tplc="04160019">
      <w:start w:val="1"/>
      <w:numFmt w:val="lowerLetter"/>
      <w:lvlText w:val="%2."/>
      <w:lvlJc w:val="left"/>
      <w:pPr>
        <w:ind w:left="1931" w:hanging="360"/>
      </w:pPr>
    </w:lvl>
    <w:lvl w:ilvl="2" w:tplc="0416001B">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23" w15:restartNumberingAfterBreak="0">
    <w:nsid w:val="65CA564B"/>
    <w:multiLevelType w:val="hybridMultilevel"/>
    <w:tmpl w:val="38B28FD0"/>
    <w:lvl w:ilvl="0" w:tplc="F9CED8A6">
      <w:start w:val="1"/>
      <w:numFmt w:val="bullet"/>
      <w:lvlText w:val=""/>
      <w:lvlJc w:val="left"/>
      <w:pPr>
        <w:ind w:left="720" w:hanging="360"/>
      </w:pPr>
      <w:rPr>
        <w:rFonts w:ascii="Wingdings" w:hAnsi="Wingdings" w:hint="default"/>
        <w:color w:val="0F6FC6" w:themeColor="accent1"/>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669942FB"/>
    <w:multiLevelType w:val="hybridMultilevel"/>
    <w:tmpl w:val="9D3485A2"/>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788F5193"/>
    <w:multiLevelType w:val="hybridMultilevel"/>
    <w:tmpl w:val="A63236D0"/>
    <w:lvl w:ilvl="0" w:tplc="DC2AF8E8">
      <w:numFmt w:val="bullet"/>
      <w:lvlText w:val="•"/>
      <w:lvlJc w:val="left"/>
      <w:pPr>
        <w:ind w:left="1406" w:hanging="555"/>
      </w:pPr>
      <w:rPr>
        <w:rFonts w:ascii="Evolventa" w:eastAsiaTheme="minorHAnsi" w:hAnsi="Evolventa" w:cstheme="minorBidi" w:hint="default"/>
      </w:rPr>
    </w:lvl>
    <w:lvl w:ilvl="1" w:tplc="04160003" w:tentative="1">
      <w:start w:val="1"/>
      <w:numFmt w:val="bullet"/>
      <w:lvlText w:val="o"/>
      <w:lvlJc w:val="left"/>
      <w:pPr>
        <w:ind w:left="1931" w:hanging="360"/>
      </w:pPr>
      <w:rPr>
        <w:rFonts w:ascii="Courier New" w:hAnsi="Courier New" w:cs="Courier New" w:hint="default"/>
      </w:rPr>
    </w:lvl>
    <w:lvl w:ilvl="2" w:tplc="04160005" w:tentative="1">
      <w:start w:val="1"/>
      <w:numFmt w:val="bullet"/>
      <w:lvlText w:val=""/>
      <w:lvlJc w:val="left"/>
      <w:pPr>
        <w:ind w:left="2651" w:hanging="360"/>
      </w:pPr>
      <w:rPr>
        <w:rFonts w:ascii="Wingdings" w:hAnsi="Wingdings" w:hint="default"/>
      </w:rPr>
    </w:lvl>
    <w:lvl w:ilvl="3" w:tplc="04160001" w:tentative="1">
      <w:start w:val="1"/>
      <w:numFmt w:val="bullet"/>
      <w:lvlText w:val=""/>
      <w:lvlJc w:val="left"/>
      <w:pPr>
        <w:ind w:left="3371" w:hanging="360"/>
      </w:pPr>
      <w:rPr>
        <w:rFonts w:ascii="Symbol" w:hAnsi="Symbol" w:hint="default"/>
      </w:rPr>
    </w:lvl>
    <w:lvl w:ilvl="4" w:tplc="04160003" w:tentative="1">
      <w:start w:val="1"/>
      <w:numFmt w:val="bullet"/>
      <w:lvlText w:val="o"/>
      <w:lvlJc w:val="left"/>
      <w:pPr>
        <w:ind w:left="4091" w:hanging="360"/>
      </w:pPr>
      <w:rPr>
        <w:rFonts w:ascii="Courier New" w:hAnsi="Courier New" w:cs="Courier New" w:hint="default"/>
      </w:rPr>
    </w:lvl>
    <w:lvl w:ilvl="5" w:tplc="04160005" w:tentative="1">
      <w:start w:val="1"/>
      <w:numFmt w:val="bullet"/>
      <w:lvlText w:val=""/>
      <w:lvlJc w:val="left"/>
      <w:pPr>
        <w:ind w:left="4811" w:hanging="360"/>
      </w:pPr>
      <w:rPr>
        <w:rFonts w:ascii="Wingdings" w:hAnsi="Wingdings" w:hint="default"/>
      </w:rPr>
    </w:lvl>
    <w:lvl w:ilvl="6" w:tplc="04160001" w:tentative="1">
      <w:start w:val="1"/>
      <w:numFmt w:val="bullet"/>
      <w:lvlText w:val=""/>
      <w:lvlJc w:val="left"/>
      <w:pPr>
        <w:ind w:left="5531" w:hanging="360"/>
      </w:pPr>
      <w:rPr>
        <w:rFonts w:ascii="Symbol" w:hAnsi="Symbol" w:hint="default"/>
      </w:rPr>
    </w:lvl>
    <w:lvl w:ilvl="7" w:tplc="04160003" w:tentative="1">
      <w:start w:val="1"/>
      <w:numFmt w:val="bullet"/>
      <w:lvlText w:val="o"/>
      <w:lvlJc w:val="left"/>
      <w:pPr>
        <w:ind w:left="6251" w:hanging="360"/>
      </w:pPr>
      <w:rPr>
        <w:rFonts w:ascii="Courier New" w:hAnsi="Courier New" w:cs="Courier New" w:hint="default"/>
      </w:rPr>
    </w:lvl>
    <w:lvl w:ilvl="8" w:tplc="04160005" w:tentative="1">
      <w:start w:val="1"/>
      <w:numFmt w:val="bullet"/>
      <w:lvlText w:val=""/>
      <w:lvlJc w:val="left"/>
      <w:pPr>
        <w:ind w:left="6971" w:hanging="360"/>
      </w:pPr>
      <w:rPr>
        <w:rFonts w:ascii="Wingdings" w:hAnsi="Wingdings" w:hint="default"/>
      </w:rPr>
    </w:lvl>
  </w:abstractNum>
  <w:abstractNum w:abstractNumId="26" w15:restartNumberingAfterBreak="0">
    <w:nsid w:val="7CFC2F11"/>
    <w:multiLevelType w:val="hybridMultilevel"/>
    <w:tmpl w:val="D5E0B2A2"/>
    <w:lvl w:ilvl="0" w:tplc="0416000D">
      <w:start w:val="1"/>
      <w:numFmt w:val="bullet"/>
      <w:lvlText w:val=""/>
      <w:lvlJc w:val="left"/>
      <w:pPr>
        <w:ind w:left="1571" w:hanging="360"/>
      </w:pPr>
      <w:rPr>
        <w:rFonts w:ascii="Wingdings" w:hAnsi="Wingdings"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num w:numId="1">
    <w:abstractNumId w:val="21"/>
  </w:num>
  <w:num w:numId="2">
    <w:abstractNumId w:val="18"/>
  </w:num>
  <w:num w:numId="3">
    <w:abstractNumId w:val="2"/>
  </w:num>
  <w:num w:numId="4">
    <w:abstractNumId w:val="0"/>
  </w:num>
  <w:num w:numId="5">
    <w:abstractNumId w:val="12"/>
  </w:num>
  <w:num w:numId="6">
    <w:abstractNumId w:val="20"/>
  </w:num>
  <w:num w:numId="7">
    <w:abstractNumId w:val="19"/>
  </w:num>
  <w:num w:numId="8">
    <w:abstractNumId w:val="12"/>
  </w:num>
  <w:num w:numId="9">
    <w:abstractNumId w:val="1"/>
  </w:num>
  <w:num w:numId="10">
    <w:abstractNumId w:val="12"/>
  </w:num>
  <w:num w:numId="11">
    <w:abstractNumId w:val="5"/>
  </w:num>
  <w:num w:numId="12">
    <w:abstractNumId w:val="9"/>
  </w:num>
  <w:num w:numId="13">
    <w:abstractNumId w:val="7"/>
  </w:num>
  <w:num w:numId="14">
    <w:abstractNumId w:val="11"/>
  </w:num>
  <w:num w:numId="15">
    <w:abstractNumId w:val="8"/>
  </w:num>
  <w:num w:numId="16">
    <w:abstractNumId w:val="22"/>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num>
  <w:num w:numId="25">
    <w:abstractNumId w:val="14"/>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num>
  <w:num w:numId="29">
    <w:abstractNumId w:val="4"/>
  </w:num>
  <w:num w:numId="30">
    <w:abstractNumId w:val="16"/>
  </w:num>
  <w:num w:numId="31">
    <w:abstractNumId w:val="13"/>
  </w:num>
  <w:num w:numId="32">
    <w:abstractNumId w:val="10"/>
  </w:num>
  <w:num w:numId="33">
    <w:abstractNumId w:val="15"/>
  </w:num>
  <w:num w:numId="34">
    <w:abstractNumId w:val="25"/>
  </w:num>
  <w:num w:numId="35">
    <w:abstractNumId w:val="6"/>
  </w:num>
  <w:num w:numId="36">
    <w:abstractNumId w:val="26"/>
  </w:num>
  <w:num w:numId="37">
    <w:abstractNumId w:val="23"/>
  </w:num>
  <w:num w:numId="3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05F6"/>
    <w:rsid w:val="00006783"/>
    <w:rsid w:val="00011F9B"/>
    <w:rsid w:val="00016961"/>
    <w:rsid w:val="0002461A"/>
    <w:rsid w:val="00034F66"/>
    <w:rsid w:val="00095761"/>
    <w:rsid w:val="000E0F72"/>
    <w:rsid w:val="000E2932"/>
    <w:rsid w:val="000F4CE4"/>
    <w:rsid w:val="00133643"/>
    <w:rsid w:val="001345E6"/>
    <w:rsid w:val="001571E9"/>
    <w:rsid w:val="0018477E"/>
    <w:rsid w:val="00195FDE"/>
    <w:rsid w:val="0019777E"/>
    <w:rsid w:val="001A676F"/>
    <w:rsid w:val="001B0CA8"/>
    <w:rsid w:val="001C71F4"/>
    <w:rsid w:val="001D092A"/>
    <w:rsid w:val="001D1140"/>
    <w:rsid w:val="001D4C82"/>
    <w:rsid w:val="001D4FBE"/>
    <w:rsid w:val="001D54BA"/>
    <w:rsid w:val="001F280F"/>
    <w:rsid w:val="00206148"/>
    <w:rsid w:val="00217C8D"/>
    <w:rsid w:val="00250E33"/>
    <w:rsid w:val="00252ACE"/>
    <w:rsid w:val="002750E6"/>
    <w:rsid w:val="002A45FC"/>
    <w:rsid w:val="002A7A7A"/>
    <w:rsid w:val="002B4889"/>
    <w:rsid w:val="002B517B"/>
    <w:rsid w:val="002C04E7"/>
    <w:rsid w:val="002C6179"/>
    <w:rsid w:val="002E40F6"/>
    <w:rsid w:val="002F186E"/>
    <w:rsid w:val="00307C5E"/>
    <w:rsid w:val="00320BB6"/>
    <w:rsid w:val="003235F2"/>
    <w:rsid w:val="0039670A"/>
    <w:rsid w:val="003A027B"/>
    <w:rsid w:val="003D1503"/>
    <w:rsid w:val="003E70CA"/>
    <w:rsid w:val="003F1E7A"/>
    <w:rsid w:val="003F3B0B"/>
    <w:rsid w:val="00412689"/>
    <w:rsid w:val="004128CC"/>
    <w:rsid w:val="00432870"/>
    <w:rsid w:val="0044334F"/>
    <w:rsid w:val="00447FF3"/>
    <w:rsid w:val="004541EE"/>
    <w:rsid w:val="004676C0"/>
    <w:rsid w:val="00486A53"/>
    <w:rsid w:val="004A5BF7"/>
    <w:rsid w:val="0052574D"/>
    <w:rsid w:val="005368AC"/>
    <w:rsid w:val="00543C40"/>
    <w:rsid w:val="00557787"/>
    <w:rsid w:val="005678D3"/>
    <w:rsid w:val="005756C5"/>
    <w:rsid w:val="00584910"/>
    <w:rsid w:val="00594BF6"/>
    <w:rsid w:val="005B2C2F"/>
    <w:rsid w:val="005B6E9D"/>
    <w:rsid w:val="005B72F1"/>
    <w:rsid w:val="005C683D"/>
    <w:rsid w:val="005D05F6"/>
    <w:rsid w:val="005E31C3"/>
    <w:rsid w:val="005E348C"/>
    <w:rsid w:val="005F2DFA"/>
    <w:rsid w:val="005F421B"/>
    <w:rsid w:val="006073C7"/>
    <w:rsid w:val="0062181C"/>
    <w:rsid w:val="00626C66"/>
    <w:rsid w:val="006323DB"/>
    <w:rsid w:val="0064697C"/>
    <w:rsid w:val="00666CAE"/>
    <w:rsid w:val="006700CF"/>
    <w:rsid w:val="0067023E"/>
    <w:rsid w:val="0068509F"/>
    <w:rsid w:val="006A5198"/>
    <w:rsid w:val="006B46F8"/>
    <w:rsid w:val="006B77F7"/>
    <w:rsid w:val="006C5CDD"/>
    <w:rsid w:val="006D310D"/>
    <w:rsid w:val="00706CF3"/>
    <w:rsid w:val="007224F4"/>
    <w:rsid w:val="00735746"/>
    <w:rsid w:val="0073605B"/>
    <w:rsid w:val="00737FF4"/>
    <w:rsid w:val="00753901"/>
    <w:rsid w:val="00770F3D"/>
    <w:rsid w:val="007747E5"/>
    <w:rsid w:val="00781C49"/>
    <w:rsid w:val="007A3BD7"/>
    <w:rsid w:val="007C5D2D"/>
    <w:rsid w:val="007D403B"/>
    <w:rsid w:val="007E4A05"/>
    <w:rsid w:val="007F2EA3"/>
    <w:rsid w:val="008121D9"/>
    <w:rsid w:val="0081651D"/>
    <w:rsid w:val="00816CC9"/>
    <w:rsid w:val="00847F52"/>
    <w:rsid w:val="0086284A"/>
    <w:rsid w:val="0086507C"/>
    <w:rsid w:val="00883D27"/>
    <w:rsid w:val="008A2953"/>
    <w:rsid w:val="008A7B70"/>
    <w:rsid w:val="008B1595"/>
    <w:rsid w:val="008D2623"/>
    <w:rsid w:val="008F1D7B"/>
    <w:rsid w:val="008F7C09"/>
    <w:rsid w:val="00917204"/>
    <w:rsid w:val="00923B69"/>
    <w:rsid w:val="00953EDC"/>
    <w:rsid w:val="00961CD4"/>
    <w:rsid w:val="00963B3A"/>
    <w:rsid w:val="00974660"/>
    <w:rsid w:val="00992669"/>
    <w:rsid w:val="009A4F75"/>
    <w:rsid w:val="009C6B55"/>
    <w:rsid w:val="009C732E"/>
    <w:rsid w:val="009D003E"/>
    <w:rsid w:val="009D265F"/>
    <w:rsid w:val="009F0436"/>
    <w:rsid w:val="009F25E5"/>
    <w:rsid w:val="009F3406"/>
    <w:rsid w:val="009F5506"/>
    <w:rsid w:val="00A01D71"/>
    <w:rsid w:val="00A22E31"/>
    <w:rsid w:val="00A24813"/>
    <w:rsid w:val="00A254C0"/>
    <w:rsid w:val="00A4763D"/>
    <w:rsid w:val="00A7180B"/>
    <w:rsid w:val="00A838CA"/>
    <w:rsid w:val="00A95B8F"/>
    <w:rsid w:val="00AC3492"/>
    <w:rsid w:val="00AC370F"/>
    <w:rsid w:val="00AD0C57"/>
    <w:rsid w:val="00AD36D4"/>
    <w:rsid w:val="00AE70D2"/>
    <w:rsid w:val="00AF6092"/>
    <w:rsid w:val="00B25E02"/>
    <w:rsid w:val="00B51D49"/>
    <w:rsid w:val="00B77DF5"/>
    <w:rsid w:val="00B94CF5"/>
    <w:rsid w:val="00B9526A"/>
    <w:rsid w:val="00BA0F46"/>
    <w:rsid w:val="00BA5530"/>
    <w:rsid w:val="00BE4EEB"/>
    <w:rsid w:val="00BF6CAF"/>
    <w:rsid w:val="00BF773D"/>
    <w:rsid w:val="00C055F2"/>
    <w:rsid w:val="00C07A5A"/>
    <w:rsid w:val="00C23B5B"/>
    <w:rsid w:val="00C27128"/>
    <w:rsid w:val="00C60024"/>
    <w:rsid w:val="00C71BBD"/>
    <w:rsid w:val="00C735E6"/>
    <w:rsid w:val="00C80FC2"/>
    <w:rsid w:val="00C813B7"/>
    <w:rsid w:val="00CA0E09"/>
    <w:rsid w:val="00CA2398"/>
    <w:rsid w:val="00CA50D3"/>
    <w:rsid w:val="00CA5510"/>
    <w:rsid w:val="00CA6351"/>
    <w:rsid w:val="00CD1C4D"/>
    <w:rsid w:val="00CE4327"/>
    <w:rsid w:val="00CF1E3D"/>
    <w:rsid w:val="00CF3DAF"/>
    <w:rsid w:val="00D027EC"/>
    <w:rsid w:val="00D05CDE"/>
    <w:rsid w:val="00D22FB2"/>
    <w:rsid w:val="00D26AB6"/>
    <w:rsid w:val="00D52E1A"/>
    <w:rsid w:val="00D60C99"/>
    <w:rsid w:val="00D61089"/>
    <w:rsid w:val="00D64AD0"/>
    <w:rsid w:val="00D65843"/>
    <w:rsid w:val="00D71ABA"/>
    <w:rsid w:val="00D7544B"/>
    <w:rsid w:val="00D954F0"/>
    <w:rsid w:val="00D96E97"/>
    <w:rsid w:val="00DA3CCC"/>
    <w:rsid w:val="00DA66B6"/>
    <w:rsid w:val="00DA7217"/>
    <w:rsid w:val="00DC026B"/>
    <w:rsid w:val="00DC7B66"/>
    <w:rsid w:val="00DD5E7C"/>
    <w:rsid w:val="00DF2161"/>
    <w:rsid w:val="00DF5334"/>
    <w:rsid w:val="00E41AC2"/>
    <w:rsid w:val="00E41F69"/>
    <w:rsid w:val="00E445F2"/>
    <w:rsid w:val="00E54E27"/>
    <w:rsid w:val="00E75F95"/>
    <w:rsid w:val="00E81309"/>
    <w:rsid w:val="00E938D7"/>
    <w:rsid w:val="00EA0328"/>
    <w:rsid w:val="00EC395F"/>
    <w:rsid w:val="00ED5197"/>
    <w:rsid w:val="00EE5EBF"/>
    <w:rsid w:val="00EE7CD1"/>
    <w:rsid w:val="00EE7FAA"/>
    <w:rsid w:val="00F03727"/>
    <w:rsid w:val="00F10879"/>
    <w:rsid w:val="00F13ACD"/>
    <w:rsid w:val="00F445DA"/>
    <w:rsid w:val="00F76108"/>
    <w:rsid w:val="00F86FC6"/>
    <w:rsid w:val="00FB2E5C"/>
    <w:rsid w:val="00FC67A5"/>
    <w:rsid w:val="00FE10D0"/>
    <w:rsid w:val="00FF287D"/>
    <w:rsid w:val="00FF7B9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94D4BEE9-1ADE-4F67-A0CC-52455001B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395F"/>
    <w:pPr>
      <w:spacing w:line="240" w:lineRule="auto"/>
      <w:ind w:firstLine="851"/>
      <w:jc w:val="both"/>
    </w:pPr>
    <w:rPr>
      <w:rFonts w:ascii="Evolventa" w:hAnsi="Evolventa"/>
    </w:rPr>
  </w:style>
  <w:style w:type="paragraph" w:styleId="Ttulo1">
    <w:name w:val="heading 1"/>
    <w:basedOn w:val="Normal"/>
    <w:next w:val="Normal"/>
    <w:link w:val="Ttulo1Char"/>
    <w:uiPriority w:val="9"/>
    <w:qFormat/>
    <w:rsid w:val="00E75F95"/>
    <w:pPr>
      <w:spacing w:after="240"/>
      <w:outlineLvl w:val="0"/>
    </w:pPr>
    <w:rPr>
      <w:rFonts w:ascii="Montserrat Light" w:hAnsi="Montserrat Light"/>
      <w:color w:val="6FB7B8"/>
      <w:sz w:val="54"/>
      <w:szCs w:val="5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5D05F6"/>
    <w:pPr>
      <w:tabs>
        <w:tab w:val="center" w:pos="4252"/>
        <w:tab w:val="right" w:pos="8504"/>
      </w:tabs>
      <w:spacing w:after="0"/>
    </w:pPr>
  </w:style>
  <w:style w:type="character" w:customStyle="1" w:styleId="CabealhoChar">
    <w:name w:val="Cabeçalho Char"/>
    <w:basedOn w:val="Fontepargpadro"/>
    <w:link w:val="Cabealho"/>
    <w:uiPriority w:val="99"/>
    <w:rsid w:val="005D05F6"/>
  </w:style>
  <w:style w:type="paragraph" w:styleId="Rodap">
    <w:name w:val="footer"/>
    <w:basedOn w:val="Normal"/>
    <w:link w:val="RodapChar"/>
    <w:uiPriority w:val="99"/>
    <w:unhideWhenUsed/>
    <w:rsid w:val="005D05F6"/>
    <w:pPr>
      <w:tabs>
        <w:tab w:val="center" w:pos="4252"/>
        <w:tab w:val="right" w:pos="8504"/>
      </w:tabs>
      <w:spacing w:after="0"/>
    </w:pPr>
  </w:style>
  <w:style w:type="character" w:customStyle="1" w:styleId="RodapChar">
    <w:name w:val="Rodapé Char"/>
    <w:basedOn w:val="Fontepargpadro"/>
    <w:link w:val="Rodap"/>
    <w:uiPriority w:val="99"/>
    <w:rsid w:val="005D05F6"/>
  </w:style>
  <w:style w:type="paragraph" w:customStyle="1" w:styleId="Pginas">
    <w:name w:val="Páginas"/>
    <w:basedOn w:val="Cabealho"/>
    <w:link w:val="PginasChar"/>
    <w:qFormat/>
    <w:rsid w:val="005D05F6"/>
    <w:rPr>
      <w:rFonts w:ascii="Montserrat Light" w:hAnsi="Montserrat Light"/>
      <w:color w:val="619F9E"/>
    </w:rPr>
  </w:style>
  <w:style w:type="character" w:customStyle="1" w:styleId="Ttulo1Char">
    <w:name w:val="Título 1 Char"/>
    <w:basedOn w:val="Fontepargpadro"/>
    <w:link w:val="Ttulo1"/>
    <w:uiPriority w:val="9"/>
    <w:rsid w:val="00E75F95"/>
    <w:rPr>
      <w:rFonts w:ascii="Montserrat Light" w:hAnsi="Montserrat Light"/>
      <w:color w:val="6FB7B8"/>
      <w:sz w:val="54"/>
      <w:szCs w:val="54"/>
    </w:rPr>
  </w:style>
  <w:style w:type="character" w:customStyle="1" w:styleId="PginasChar">
    <w:name w:val="Páginas Char"/>
    <w:basedOn w:val="CabealhoChar"/>
    <w:link w:val="Pginas"/>
    <w:rsid w:val="005D05F6"/>
    <w:rPr>
      <w:rFonts w:ascii="Montserrat Light" w:hAnsi="Montserrat Light"/>
      <w:color w:val="619F9E"/>
    </w:rPr>
  </w:style>
  <w:style w:type="paragraph" w:styleId="SemEspaamento">
    <w:name w:val="No Spacing"/>
    <w:uiPriority w:val="1"/>
    <w:qFormat/>
    <w:rsid w:val="00923B69"/>
    <w:pPr>
      <w:spacing w:after="0" w:line="240" w:lineRule="auto"/>
    </w:pPr>
    <w:rPr>
      <w:rFonts w:ascii="Evolventa" w:hAnsi="Evolventa"/>
    </w:rPr>
  </w:style>
  <w:style w:type="paragraph" w:customStyle="1" w:styleId="Tabe">
    <w:name w:val="Tabe"/>
    <w:basedOn w:val="Normal"/>
    <w:link w:val="TabeChar"/>
    <w:qFormat/>
    <w:rsid w:val="00D954F0"/>
    <w:pPr>
      <w:spacing w:before="20" w:after="20"/>
    </w:pPr>
    <w:rPr>
      <w:rFonts w:ascii="Arial" w:eastAsia="Times New Roman" w:hAnsi="Arial" w:cs="Arial"/>
      <w:spacing w:val="-4"/>
      <w:sz w:val="18"/>
      <w:szCs w:val="18"/>
      <w:lang w:eastAsia="pt-BR"/>
    </w:rPr>
  </w:style>
  <w:style w:type="character" w:customStyle="1" w:styleId="TabeChar">
    <w:name w:val="Tabe Char"/>
    <w:basedOn w:val="Fontepargpadro"/>
    <w:link w:val="Tabe"/>
    <w:rsid w:val="00D954F0"/>
    <w:rPr>
      <w:rFonts w:ascii="Arial" w:eastAsia="Times New Roman" w:hAnsi="Arial" w:cs="Arial"/>
      <w:spacing w:val="-4"/>
      <w:sz w:val="18"/>
      <w:szCs w:val="18"/>
      <w:lang w:eastAsia="pt-BR"/>
    </w:rPr>
  </w:style>
  <w:style w:type="paragraph" w:styleId="CabealhodoSumrio">
    <w:name w:val="TOC Heading"/>
    <w:basedOn w:val="Ttulo1"/>
    <w:next w:val="Normal"/>
    <w:uiPriority w:val="39"/>
    <w:unhideWhenUsed/>
    <w:qFormat/>
    <w:rsid w:val="005756C5"/>
    <w:pPr>
      <w:outlineLvl w:val="9"/>
    </w:pPr>
    <w:rPr>
      <w:rFonts w:asciiTheme="majorHAnsi" w:hAnsiTheme="majorHAnsi"/>
      <w:color w:val="0B5294" w:themeColor="accent1" w:themeShade="BF"/>
      <w:sz w:val="32"/>
      <w:lang w:eastAsia="pt-BR"/>
    </w:rPr>
  </w:style>
  <w:style w:type="paragraph" w:styleId="Sumrio1">
    <w:name w:val="toc 1"/>
    <w:basedOn w:val="Normal"/>
    <w:next w:val="Normal"/>
    <w:autoRedefine/>
    <w:uiPriority w:val="39"/>
    <w:unhideWhenUsed/>
    <w:rsid w:val="001D54BA"/>
    <w:pPr>
      <w:tabs>
        <w:tab w:val="left" w:pos="1540"/>
        <w:tab w:val="right" w:leader="dot" w:pos="9628"/>
      </w:tabs>
      <w:spacing w:after="100"/>
      <w:ind w:left="851" w:firstLine="0"/>
    </w:pPr>
    <w:rPr>
      <w:noProof/>
    </w:rPr>
  </w:style>
  <w:style w:type="character" w:styleId="Hyperlink">
    <w:name w:val="Hyperlink"/>
    <w:basedOn w:val="Fontepargpadro"/>
    <w:uiPriority w:val="99"/>
    <w:unhideWhenUsed/>
    <w:rsid w:val="005756C5"/>
    <w:rPr>
      <w:color w:val="F49100" w:themeColor="hyperlink"/>
      <w:u w:val="single"/>
    </w:rPr>
  </w:style>
  <w:style w:type="paragraph" w:styleId="PargrafodaLista">
    <w:name w:val="List Paragraph"/>
    <w:basedOn w:val="Normal"/>
    <w:uiPriority w:val="34"/>
    <w:qFormat/>
    <w:rsid w:val="00CA6351"/>
    <w:pPr>
      <w:ind w:left="720"/>
      <w:contextualSpacing/>
    </w:pPr>
  </w:style>
  <w:style w:type="paragraph" w:customStyle="1" w:styleId="TITULO1">
    <w:name w:val="TITULO1"/>
    <w:basedOn w:val="Ttulo1"/>
    <w:link w:val="TITULO1Char"/>
    <w:rsid w:val="00CA6351"/>
    <w:pPr>
      <w:tabs>
        <w:tab w:val="left" w:pos="284"/>
      </w:tabs>
    </w:pPr>
    <w:rPr>
      <w:b/>
      <w:sz w:val="32"/>
    </w:rPr>
  </w:style>
  <w:style w:type="paragraph" w:customStyle="1" w:styleId="Titlulo2">
    <w:name w:val="Titlulo2"/>
    <w:basedOn w:val="TITULO1"/>
    <w:link w:val="Titlulo2Char"/>
    <w:qFormat/>
    <w:rsid w:val="008F1D7B"/>
    <w:pPr>
      <w:numPr>
        <w:ilvl w:val="1"/>
        <w:numId w:val="5"/>
      </w:numPr>
      <w:tabs>
        <w:tab w:val="clear" w:pos="284"/>
        <w:tab w:val="left" w:pos="993"/>
      </w:tabs>
      <w:spacing w:before="240"/>
      <w:ind w:left="792"/>
    </w:pPr>
    <w:rPr>
      <w:rFonts w:ascii="Montserrat" w:hAnsi="Montserrat"/>
      <w:sz w:val="28"/>
      <w:szCs w:val="24"/>
    </w:rPr>
  </w:style>
  <w:style w:type="character" w:customStyle="1" w:styleId="TITULO1Char">
    <w:name w:val="TITULO1 Char"/>
    <w:basedOn w:val="Ttulo1Char"/>
    <w:link w:val="TITULO1"/>
    <w:rsid w:val="00CA6351"/>
    <w:rPr>
      <w:rFonts w:ascii="Montserrat Light" w:hAnsi="Montserrat Light"/>
      <w:b/>
      <w:color w:val="6FB7B8"/>
      <w:sz w:val="32"/>
      <w:szCs w:val="54"/>
    </w:rPr>
  </w:style>
  <w:style w:type="paragraph" w:customStyle="1" w:styleId="Citao1">
    <w:name w:val="Citação1"/>
    <w:basedOn w:val="Normal"/>
    <w:link w:val="Citao1Char"/>
    <w:qFormat/>
    <w:rsid w:val="00E75F95"/>
    <w:pPr>
      <w:spacing w:after="0"/>
      <w:ind w:left="2268"/>
    </w:pPr>
    <w:rPr>
      <w:sz w:val="18"/>
    </w:rPr>
  </w:style>
  <w:style w:type="character" w:customStyle="1" w:styleId="Titlulo2Char">
    <w:name w:val="Titlulo2 Char"/>
    <w:basedOn w:val="TITULO1Char"/>
    <w:link w:val="Titlulo2"/>
    <w:rsid w:val="008F1D7B"/>
    <w:rPr>
      <w:rFonts w:ascii="Montserrat" w:hAnsi="Montserrat"/>
      <w:b/>
      <w:color w:val="6FB7B8"/>
      <w:sz w:val="28"/>
      <w:szCs w:val="24"/>
    </w:rPr>
  </w:style>
  <w:style w:type="paragraph" w:customStyle="1" w:styleId="Ttulo3">
    <w:name w:val="Título3"/>
    <w:basedOn w:val="Titlulo2"/>
    <w:link w:val="Ttulo3Char"/>
    <w:qFormat/>
    <w:rsid w:val="00992669"/>
    <w:pPr>
      <w:numPr>
        <w:ilvl w:val="2"/>
      </w:numPr>
      <w:tabs>
        <w:tab w:val="clear" w:pos="993"/>
        <w:tab w:val="left" w:pos="1134"/>
      </w:tabs>
    </w:pPr>
    <w:rPr>
      <w:rFonts w:ascii="Montserrat Light" w:hAnsi="Montserrat Light"/>
      <w:sz w:val="24"/>
      <w:szCs w:val="26"/>
    </w:rPr>
  </w:style>
  <w:style w:type="character" w:customStyle="1" w:styleId="Citao1Char">
    <w:name w:val="Citação1 Char"/>
    <w:basedOn w:val="Fontepargpadro"/>
    <w:link w:val="Citao1"/>
    <w:rsid w:val="00E75F95"/>
    <w:rPr>
      <w:rFonts w:ascii="Evolventa" w:hAnsi="Evolventa"/>
      <w:sz w:val="18"/>
    </w:rPr>
  </w:style>
  <w:style w:type="table" w:styleId="Tabelacomgrade">
    <w:name w:val="Table Grid"/>
    <w:basedOn w:val="Tabelanormal"/>
    <w:uiPriority w:val="39"/>
    <w:rsid w:val="00AF60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har">
    <w:name w:val="Título3 Char"/>
    <w:basedOn w:val="Titlulo2Char"/>
    <w:link w:val="Ttulo3"/>
    <w:rsid w:val="00992669"/>
    <w:rPr>
      <w:rFonts w:ascii="Montserrat Light" w:hAnsi="Montserrat Light"/>
      <w:b/>
      <w:color w:val="6FB7B8"/>
      <w:sz w:val="24"/>
      <w:szCs w:val="26"/>
    </w:rPr>
  </w:style>
  <w:style w:type="table" w:styleId="TabeladeLista6Colorida-nfase6">
    <w:name w:val="List Table 6 Colorful Accent 6"/>
    <w:basedOn w:val="Tabelanormal"/>
    <w:uiPriority w:val="51"/>
    <w:rsid w:val="00AF6092"/>
    <w:pPr>
      <w:spacing w:after="0" w:line="240" w:lineRule="auto"/>
    </w:pPr>
    <w:rPr>
      <w:color w:val="7D9532" w:themeColor="accent6" w:themeShade="BF"/>
    </w:rPr>
    <w:tblPr>
      <w:tblStyleRowBandSize w:val="1"/>
      <w:tblStyleColBandSize w:val="1"/>
      <w:tblBorders>
        <w:top w:val="single" w:sz="4" w:space="0" w:color="A5C249" w:themeColor="accent6"/>
        <w:bottom w:val="single" w:sz="4" w:space="0" w:color="A5C249" w:themeColor="accent6"/>
      </w:tblBorders>
    </w:tblPr>
    <w:tblStylePr w:type="firstRow">
      <w:rPr>
        <w:b/>
        <w:bCs/>
      </w:rPr>
      <w:tblPr/>
      <w:tcPr>
        <w:tcBorders>
          <w:bottom w:val="single" w:sz="4" w:space="0" w:color="A5C249" w:themeColor="accent6"/>
        </w:tcBorders>
      </w:tcPr>
    </w:tblStylePr>
    <w:tblStylePr w:type="lastRow">
      <w:rPr>
        <w:b/>
        <w:bCs/>
      </w:rPr>
      <w:tblPr/>
      <w:tcPr>
        <w:tcBorders>
          <w:top w:val="double" w:sz="4" w:space="0" w:color="A5C249" w:themeColor="accent6"/>
        </w:tcBorders>
      </w:tcPr>
    </w:tblStylePr>
    <w:tblStylePr w:type="firstCol">
      <w:rPr>
        <w:b/>
        <w:bCs/>
      </w:rPr>
    </w:tblStylePr>
    <w:tblStylePr w:type="lastCol">
      <w:rPr>
        <w:b/>
        <w:bCs/>
      </w:rPr>
    </w:tblStylePr>
    <w:tblStylePr w:type="band1Vert">
      <w:tblPr/>
      <w:tcPr>
        <w:shd w:val="clear" w:color="auto" w:fill="ECF2DA" w:themeFill="accent6" w:themeFillTint="33"/>
      </w:tcPr>
    </w:tblStylePr>
    <w:tblStylePr w:type="band1Horz">
      <w:tblPr/>
      <w:tcPr>
        <w:shd w:val="clear" w:color="auto" w:fill="ECF2DA" w:themeFill="accent6" w:themeFillTint="33"/>
      </w:tcPr>
    </w:tblStylePr>
  </w:style>
  <w:style w:type="paragraph" w:styleId="NormalWeb">
    <w:name w:val="Normal (Web)"/>
    <w:basedOn w:val="Normal"/>
    <w:uiPriority w:val="99"/>
    <w:semiHidden/>
    <w:unhideWhenUsed/>
    <w:rsid w:val="005E348C"/>
    <w:pPr>
      <w:spacing w:before="100" w:beforeAutospacing="1" w:after="100" w:afterAutospacing="1"/>
      <w:ind w:firstLine="0"/>
      <w:jc w:val="left"/>
    </w:pPr>
    <w:rPr>
      <w:rFonts w:ascii="Times New Roman" w:eastAsia="Times New Roman" w:hAnsi="Times New Roman" w:cs="Times New Roman"/>
      <w:sz w:val="24"/>
      <w:szCs w:val="24"/>
      <w:lang w:eastAsia="pt-BR"/>
    </w:rPr>
  </w:style>
  <w:style w:type="character" w:styleId="HiperlinkVisitado">
    <w:name w:val="FollowedHyperlink"/>
    <w:basedOn w:val="Fontepargpadro"/>
    <w:uiPriority w:val="99"/>
    <w:semiHidden/>
    <w:unhideWhenUsed/>
    <w:rsid w:val="00ED5197"/>
    <w:rPr>
      <w:color w:val="85DFD0" w:themeColor="followedHyperlink"/>
      <w:u w:val="single"/>
    </w:rPr>
  </w:style>
  <w:style w:type="character" w:styleId="Forte">
    <w:name w:val="Strong"/>
    <w:basedOn w:val="Fontepargpadro"/>
    <w:uiPriority w:val="22"/>
    <w:qFormat/>
    <w:rsid w:val="0073605B"/>
    <w:rPr>
      <w:b/>
      <w:bCs/>
    </w:rPr>
  </w:style>
  <w:style w:type="paragraph" w:styleId="Reviso">
    <w:name w:val="Revision"/>
    <w:hidden/>
    <w:uiPriority w:val="99"/>
    <w:semiHidden/>
    <w:rsid w:val="007E4A05"/>
    <w:pPr>
      <w:spacing w:after="0" w:line="240" w:lineRule="auto"/>
    </w:pPr>
    <w:rPr>
      <w:rFonts w:ascii="Evolventa" w:hAnsi="Evolventa"/>
    </w:rPr>
  </w:style>
  <w:style w:type="table" w:styleId="TabeladeLista3-nfase1">
    <w:name w:val="List Table 3 Accent 1"/>
    <w:basedOn w:val="Tabelanormal"/>
    <w:uiPriority w:val="48"/>
    <w:rsid w:val="00847F52"/>
    <w:pPr>
      <w:spacing w:after="0" w:line="240" w:lineRule="auto"/>
    </w:pPr>
    <w:tblPr>
      <w:tblStyleRowBandSize w:val="1"/>
      <w:tblStyleColBandSize w:val="1"/>
      <w:tblBorders>
        <w:top w:val="single" w:sz="4" w:space="0" w:color="0F6FC6" w:themeColor="accent1"/>
        <w:left w:val="single" w:sz="4" w:space="0" w:color="0F6FC6" w:themeColor="accent1"/>
        <w:bottom w:val="single" w:sz="4" w:space="0" w:color="0F6FC6" w:themeColor="accent1"/>
        <w:right w:val="single" w:sz="4" w:space="0" w:color="0F6FC6" w:themeColor="accent1"/>
      </w:tblBorders>
    </w:tblPr>
    <w:tblStylePr w:type="firstRow">
      <w:rPr>
        <w:b/>
        <w:bCs/>
        <w:color w:val="FFFFFF" w:themeColor="background1"/>
      </w:rPr>
      <w:tblPr/>
      <w:tcPr>
        <w:shd w:val="clear" w:color="auto" w:fill="0F6FC6" w:themeFill="accent1"/>
      </w:tcPr>
    </w:tblStylePr>
    <w:tblStylePr w:type="lastRow">
      <w:rPr>
        <w:b/>
        <w:bCs/>
      </w:rPr>
      <w:tblPr/>
      <w:tcPr>
        <w:tcBorders>
          <w:top w:val="double" w:sz="4" w:space="0" w:color="0F6FC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6FC6" w:themeColor="accent1"/>
          <w:right w:val="single" w:sz="4" w:space="0" w:color="0F6FC6" w:themeColor="accent1"/>
        </w:tcBorders>
      </w:tcPr>
    </w:tblStylePr>
    <w:tblStylePr w:type="band1Horz">
      <w:tblPr/>
      <w:tcPr>
        <w:tcBorders>
          <w:top w:val="single" w:sz="4" w:space="0" w:color="0F6FC6" w:themeColor="accent1"/>
          <w:bottom w:val="single" w:sz="4" w:space="0" w:color="0F6FC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6FC6" w:themeColor="accent1"/>
          <w:left w:val="nil"/>
        </w:tcBorders>
      </w:tcPr>
    </w:tblStylePr>
    <w:tblStylePr w:type="swCell">
      <w:tblPr/>
      <w:tcPr>
        <w:tcBorders>
          <w:top w:val="double" w:sz="4" w:space="0" w:color="0F6FC6" w:themeColor="accent1"/>
          <w:right w:val="nil"/>
        </w:tcBorders>
      </w:tcPr>
    </w:tblStylePr>
  </w:style>
  <w:style w:type="paragraph" w:styleId="Textodebalo">
    <w:name w:val="Balloon Text"/>
    <w:basedOn w:val="Normal"/>
    <w:link w:val="TextodebaloChar"/>
    <w:uiPriority w:val="99"/>
    <w:semiHidden/>
    <w:unhideWhenUsed/>
    <w:rsid w:val="00883D27"/>
    <w:pPr>
      <w:spacing w:after="0"/>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883D2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header" Target="header4.xml"/><Relationship Id="rId39" Type="http://schemas.openxmlformats.org/officeDocument/2006/relationships/diagramLayout" Target="diagrams/layout2.xml"/><Relationship Id="rId21" Type="http://schemas.openxmlformats.org/officeDocument/2006/relationships/diagramQuickStyle" Target="diagrams/quickStyle1.xml"/><Relationship Id="rId34" Type="http://schemas.openxmlformats.org/officeDocument/2006/relationships/image" Target="media/image8.png"/><Relationship Id="rId42" Type="http://schemas.microsoft.com/office/2007/relationships/diagramDrawing" Target="diagrams/drawing2.xml"/><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hyperlink" Target="mailto:georc@sef.sc.gov.br"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footer" Target="footer5.xml"/><Relationship Id="rId11" Type="http://schemas.openxmlformats.org/officeDocument/2006/relationships/header" Target="header1.xml"/><Relationship Id="rId24" Type="http://schemas.openxmlformats.org/officeDocument/2006/relationships/hyperlink" Target="http://www.sef.sc.gov.br/arquivos_portal/legislacoes/28/Decreto_n__1.323_Classificacao_da_Despesa_Publica_de_21.12.2012.pdf" TargetMode="External"/><Relationship Id="rId32" Type="http://schemas.openxmlformats.org/officeDocument/2006/relationships/image" Target="media/image6.png"/><Relationship Id="rId37" Type="http://schemas.openxmlformats.org/officeDocument/2006/relationships/image" Target="media/image11.JPG"/><Relationship Id="rId40" Type="http://schemas.openxmlformats.org/officeDocument/2006/relationships/diagramQuickStyle" Target="diagrams/quickStyle2.xml"/><Relationship Id="rId45" Type="http://schemas.openxmlformats.org/officeDocument/2006/relationships/image" Target="media/image17.png"/><Relationship Id="rId53" Type="http://schemas.openxmlformats.org/officeDocument/2006/relationships/image" Target="media/image25.png"/><Relationship Id="rId5" Type="http://schemas.openxmlformats.org/officeDocument/2006/relationships/webSettings" Target="webSettings.xml"/><Relationship Id="rId19" Type="http://schemas.openxmlformats.org/officeDocument/2006/relationships/diagramData" Target="diagrams/data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 Id="rId22" Type="http://schemas.openxmlformats.org/officeDocument/2006/relationships/diagramColors" Target="diagrams/colors1.xml"/><Relationship Id="rId27" Type="http://schemas.openxmlformats.org/officeDocument/2006/relationships/footer" Target="footer4.xml"/><Relationship Id="rId30" Type="http://schemas.openxmlformats.org/officeDocument/2006/relationships/hyperlink" Target="http://www.planalto.gov.br/ccivil_03/Portaria/prt-424-16-m.planejamento.htm),%20" TargetMode="External"/><Relationship Id="rId35" Type="http://schemas.openxmlformats.org/officeDocument/2006/relationships/image" Target="media/image9.png"/><Relationship Id="rId43" Type="http://schemas.openxmlformats.org/officeDocument/2006/relationships/image" Target="media/image15.JPG"/><Relationship Id="rId48" Type="http://schemas.openxmlformats.org/officeDocument/2006/relationships/image" Target="media/image20.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3.JPG"/><Relationship Id="rId25" Type="http://schemas.openxmlformats.org/officeDocument/2006/relationships/image" Target="media/image5.png"/><Relationship Id="rId33" Type="http://schemas.openxmlformats.org/officeDocument/2006/relationships/image" Target="media/image7.png"/><Relationship Id="rId38" Type="http://schemas.openxmlformats.org/officeDocument/2006/relationships/diagramData" Target="diagrams/data2.xml"/><Relationship Id="rId46" Type="http://schemas.openxmlformats.org/officeDocument/2006/relationships/image" Target="media/image18.png"/><Relationship Id="rId20" Type="http://schemas.openxmlformats.org/officeDocument/2006/relationships/diagramLayout" Target="diagrams/layout1.xml"/><Relationship Id="rId41" Type="http://schemas.openxmlformats.org/officeDocument/2006/relationships/diagramColors" Target="diagrams/colors2.xml"/><Relationship Id="rId54" Type="http://schemas.openxmlformats.org/officeDocument/2006/relationships/image" Target="media/image26.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microsoft.com/office/2007/relationships/diagramDrawing" Target="diagrams/drawing1.xml"/><Relationship Id="rId28" Type="http://schemas.openxmlformats.org/officeDocument/2006/relationships/header" Target="header5.xml"/><Relationship Id="rId36" Type="http://schemas.openxmlformats.org/officeDocument/2006/relationships/image" Target="media/image10.png"/><Relationship Id="rId49" Type="http://schemas.openxmlformats.org/officeDocument/2006/relationships/image" Target="media/image21.png"/><Relationship Id="rId57" Type="http://schemas.openxmlformats.org/officeDocument/2006/relationships/theme" Target="theme/theme1.xml"/><Relationship Id="rId10" Type="http://schemas.openxmlformats.org/officeDocument/2006/relationships/image" Target="media/image20.jpg"/><Relationship Id="rId31" Type="http://schemas.openxmlformats.org/officeDocument/2006/relationships/hyperlink" Target="mailto:gereo@sef.sc.gov.br" TargetMode="External"/><Relationship Id="rId44" Type="http://schemas.openxmlformats.org/officeDocument/2006/relationships/image" Target="media/image16.png"/><Relationship Id="rId52" Type="http://schemas.openxmlformats.org/officeDocument/2006/relationships/image" Target="media/image24.png"/></Relationships>
</file>

<file path=word/diagrams/_rels/data2.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jpeg"/><Relationship Id="rId1" Type="http://schemas.openxmlformats.org/officeDocument/2006/relationships/image" Target="../media/image12.jpeg"/></Relationships>
</file>

<file path=word/diagrams/_rels/drawing2.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jpeg"/><Relationship Id="rId1" Type="http://schemas.openxmlformats.org/officeDocument/2006/relationships/image" Target="../media/image12.jpe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E04B87E-8DB9-43BD-9F3A-26644A810B77}" type="doc">
      <dgm:prSet loTypeId="urn:microsoft.com/office/officeart/2009/3/layout/HorizontalOrganizationChart" loCatId="hierarchy" qsTypeId="urn:microsoft.com/office/officeart/2005/8/quickstyle/simple1" qsCatId="simple" csTypeId="urn:microsoft.com/office/officeart/2005/8/colors/colorful4" csCatId="colorful" phldr="1"/>
      <dgm:spPr/>
      <dgm:t>
        <a:bodyPr/>
        <a:lstStyle/>
        <a:p>
          <a:endParaRPr lang="pt-BR"/>
        </a:p>
      </dgm:t>
    </dgm:pt>
    <dgm:pt modelId="{CB43D28D-C181-4F81-A194-0435082A5B2B}">
      <dgm:prSet phldrT="[Texto]"/>
      <dgm:spPr>
        <a:solidFill>
          <a:schemeClr val="accent2"/>
        </a:solidFill>
      </dgm:spPr>
      <dgm:t>
        <a:bodyPr/>
        <a:lstStyle/>
        <a:p>
          <a:r>
            <a:rPr lang="pt-BR">
              <a:latin typeface="Evolventa" panose="020B0502020202020204" pitchFamily="34" charset="0"/>
            </a:rPr>
            <a:t>Classificação Orçamentária</a:t>
          </a:r>
        </a:p>
      </dgm:t>
    </dgm:pt>
    <dgm:pt modelId="{F5466281-93E6-4826-BFBF-2F6DEB9B71CD}" type="parTrans" cxnId="{3B6426FA-F276-4387-A567-D41AC0A89889}">
      <dgm:prSet/>
      <dgm:spPr/>
      <dgm:t>
        <a:bodyPr/>
        <a:lstStyle/>
        <a:p>
          <a:endParaRPr lang="pt-BR">
            <a:latin typeface="Evolventa" panose="020B0502020202020204" pitchFamily="34" charset="0"/>
          </a:endParaRPr>
        </a:p>
      </dgm:t>
    </dgm:pt>
    <dgm:pt modelId="{5318B9ED-BC41-4DCF-BCA8-CB6395169DC3}" type="sibTrans" cxnId="{3B6426FA-F276-4387-A567-D41AC0A89889}">
      <dgm:prSet/>
      <dgm:spPr/>
      <dgm:t>
        <a:bodyPr/>
        <a:lstStyle/>
        <a:p>
          <a:endParaRPr lang="pt-BR">
            <a:latin typeface="Evolventa" panose="020B0502020202020204" pitchFamily="34" charset="0"/>
          </a:endParaRPr>
        </a:p>
      </dgm:t>
    </dgm:pt>
    <dgm:pt modelId="{650344FA-3734-4678-8D1A-3673C2209DE1}">
      <dgm:prSet phldrT="[Texto]"/>
      <dgm:spPr>
        <a:solidFill>
          <a:srgbClr val="6FB8B9"/>
        </a:solidFill>
      </dgm:spPr>
      <dgm:t>
        <a:bodyPr/>
        <a:lstStyle/>
        <a:p>
          <a:r>
            <a:rPr lang="pt-BR">
              <a:latin typeface="Evolventa" panose="020B0502020202020204" pitchFamily="34" charset="0"/>
            </a:rPr>
            <a:t>Institucional</a:t>
          </a:r>
        </a:p>
      </dgm:t>
    </dgm:pt>
    <dgm:pt modelId="{D1E9E176-947D-4119-A307-1085D92DA0BB}" type="parTrans" cxnId="{BF50A03E-AE03-4923-92E8-3DEC90D25291}">
      <dgm:prSet/>
      <dgm:spPr/>
      <dgm:t>
        <a:bodyPr/>
        <a:lstStyle/>
        <a:p>
          <a:endParaRPr lang="pt-BR">
            <a:latin typeface="Evolventa" panose="020B0502020202020204" pitchFamily="34" charset="0"/>
          </a:endParaRPr>
        </a:p>
      </dgm:t>
    </dgm:pt>
    <dgm:pt modelId="{59E3C7E4-548B-4CE3-8EC1-A3878767DD83}" type="sibTrans" cxnId="{BF50A03E-AE03-4923-92E8-3DEC90D25291}">
      <dgm:prSet/>
      <dgm:spPr/>
      <dgm:t>
        <a:bodyPr/>
        <a:lstStyle/>
        <a:p>
          <a:endParaRPr lang="pt-BR">
            <a:latin typeface="Evolventa" panose="020B0502020202020204" pitchFamily="34" charset="0"/>
          </a:endParaRPr>
        </a:p>
      </dgm:t>
    </dgm:pt>
    <dgm:pt modelId="{22A072A8-F09D-4A1D-AC3A-501149D7305C}">
      <dgm:prSet phldrT="[Texto]"/>
      <dgm:spPr>
        <a:solidFill>
          <a:srgbClr val="6FB8B9"/>
        </a:solidFill>
      </dgm:spPr>
      <dgm:t>
        <a:bodyPr/>
        <a:lstStyle/>
        <a:p>
          <a:r>
            <a:rPr lang="pt-BR">
              <a:latin typeface="Evolventa" panose="020B0502020202020204" pitchFamily="34" charset="0"/>
            </a:rPr>
            <a:t>Funcional</a:t>
          </a:r>
        </a:p>
      </dgm:t>
    </dgm:pt>
    <dgm:pt modelId="{F063C759-5D70-4981-8239-EDEF6BEF2FC2}" type="parTrans" cxnId="{9AE36553-D76C-4783-9CBE-60EC24BDC683}">
      <dgm:prSet/>
      <dgm:spPr/>
      <dgm:t>
        <a:bodyPr/>
        <a:lstStyle/>
        <a:p>
          <a:endParaRPr lang="pt-BR">
            <a:latin typeface="Evolventa" panose="020B0502020202020204" pitchFamily="34" charset="0"/>
          </a:endParaRPr>
        </a:p>
      </dgm:t>
    </dgm:pt>
    <dgm:pt modelId="{B8E9CF47-25EC-43A0-A4BE-99A41A68F4D7}" type="sibTrans" cxnId="{9AE36553-D76C-4783-9CBE-60EC24BDC683}">
      <dgm:prSet/>
      <dgm:spPr/>
      <dgm:t>
        <a:bodyPr/>
        <a:lstStyle/>
        <a:p>
          <a:endParaRPr lang="pt-BR">
            <a:latin typeface="Evolventa" panose="020B0502020202020204" pitchFamily="34" charset="0"/>
          </a:endParaRPr>
        </a:p>
      </dgm:t>
    </dgm:pt>
    <dgm:pt modelId="{D5D614DF-7FC2-405A-8380-2AC9D794733B}">
      <dgm:prSet phldrT="[Texto]"/>
      <dgm:spPr>
        <a:solidFill>
          <a:srgbClr val="6FB8B9"/>
        </a:solidFill>
      </dgm:spPr>
      <dgm:t>
        <a:bodyPr/>
        <a:lstStyle/>
        <a:p>
          <a:r>
            <a:rPr lang="pt-BR">
              <a:latin typeface="Evolventa" panose="020B0502020202020204" pitchFamily="34" charset="0"/>
            </a:rPr>
            <a:t>Estrutura Programática</a:t>
          </a:r>
        </a:p>
      </dgm:t>
    </dgm:pt>
    <dgm:pt modelId="{1CFBCEEC-30CE-4082-A023-A96F316604FC}" type="parTrans" cxnId="{AE935169-3BDC-4374-9DA6-DD7B464FD84B}">
      <dgm:prSet/>
      <dgm:spPr/>
      <dgm:t>
        <a:bodyPr/>
        <a:lstStyle/>
        <a:p>
          <a:endParaRPr lang="pt-BR">
            <a:latin typeface="Evolventa" panose="020B0502020202020204" pitchFamily="34" charset="0"/>
          </a:endParaRPr>
        </a:p>
      </dgm:t>
    </dgm:pt>
    <dgm:pt modelId="{7DC09653-CAA5-470D-BDFC-5BCAAD8CE908}" type="sibTrans" cxnId="{AE935169-3BDC-4374-9DA6-DD7B464FD84B}">
      <dgm:prSet/>
      <dgm:spPr/>
      <dgm:t>
        <a:bodyPr/>
        <a:lstStyle/>
        <a:p>
          <a:endParaRPr lang="pt-BR">
            <a:latin typeface="Evolventa" panose="020B0502020202020204" pitchFamily="34" charset="0"/>
          </a:endParaRPr>
        </a:p>
      </dgm:t>
    </dgm:pt>
    <dgm:pt modelId="{71909E0F-114F-46F8-93F0-3FF532D9302B}">
      <dgm:prSet phldrT="[Texto]"/>
      <dgm:spPr>
        <a:solidFill>
          <a:srgbClr val="6FB8B9"/>
        </a:solidFill>
      </dgm:spPr>
      <dgm:t>
        <a:bodyPr/>
        <a:lstStyle/>
        <a:p>
          <a:r>
            <a:rPr lang="pt-BR">
              <a:latin typeface="Evolventa" panose="020B0502020202020204" pitchFamily="34" charset="0"/>
            </a:rPr>
            <a:t>Natureza de Despesa</a:t>
          </a:r>
        </a:p>
      </dgm:t>
    </dgm:pt>
    <dgm:pt modelId="{87DB9047-EE76-461E-92E6-A7ED764557BF}" type="parTrans" cxnId="{DBAC1BD7-5D8C-4406-AA5B-730D46807294}">
      <dgm:prSet/>
      <dgm:spPr/>
      <dgm:t>
        <a:bodyPr/>
        <a:lstStyle/>
        <a:p>
          <a:endParaRPr lang="pt-BR">
            <a:latin typeface="Evolventa" panose="020B0502020202020204" pitchFamily="34" charset="0"/>
          </a:endParaRPr>
        </a:p>
      </dgm:t>
    </dgm:pt>
    <dgm:pt modelId="{2DA9049F-F5A5-4382-9315-3B8AC6915FC8}" type="sibTrans" cxnId="{DBAC1BD7-5D8C-4406-AA5B-730D46807294}">
      <dgm:prSet/>
      <dgm:spPr/>
      <dgm:t>
        <a:bodyPr/>
        <a:lstStyle/>
        <a:p>
          <a:endParaRPr lang="pt-BR">
            <a:latin typeface="Evolventa" panose="020B0502020202020204" pitchFamily="34" charset="0"/>
          </a:endParaRPr>
        </a:p>
      </dgm:t>
    </dgm:pt>
    <dgm:pt modelId="{D2C0620A-5C55-4E1E-94D4-B916DEF2A22F}" type="pres">
      <dgm:prSet presAssocID="{0E04B87E-8DB9-43BD-9F3A-26644A810B77}" presName="hierChild1" presStyleCnt="0">
        <dgm:presLayoutVars>
          <dgm:orgChart val="1"/>
          <dgm:chPref val="1"/>
          <dgm:dir/>
          <dgm:animOne val="branch"/>
          <dgm:animLvl val="lvl"/>
          <dgm:resizeHandles/>
        </dgm:presLayoutVars>
      </dgm:prSet>
      <dgm:spPr/>
      <dgm:t>
        <a:bodyPr/>
        <a:lstStyle/>
        <a:p>
          <a:endParaRPr lang="pt-BR"/>
        </a:p>
      </dgm:t>
    </dgm:pt>
    <dgm:pt modelId="{D49EC488-B09B-4BB7-87D5-492C26703C32}" type="pres">
      <dgm:prSet presAssocID="{CB43D28D-C181-4F81-A194-0435082A5B2B}" presName="hierRoot1" presStyleCnt="0">
        <dgm:presLayoutVars>
          <dgm:hierBranch val="init"/>
        </dgm:presLayoutVars>
      </dgm:prSet>
      <dgm:spPr/>
    </dgm:pt>
    <dgm:pt modelId="{BAFB9EB7-A8A9-40BB-B7FC-97780CAF967D}" type="pres">
      <dgm:prSet presAssocID="{CB43D28D-C181-4F81-A194-0435082A5B2B}" presName="rootComposite1" presStyleCnt="0"/>
      <dgm:spPr/>
    </dgm:pt>
    <dgm:pt modelId="{353B73D2-4BCF-470E-BBAD-B5263766738B}" type="pres">
      <dgm:prSet presAssocID="{CB43D28D-C181-4F81-A194-0435082A5B2B}" presName="rootText1" presStyleLbl="node0" presStyleIdx="0" presStyleCnt="1">
        <dgm:presLayoutVars>
          <dgm:chPref val="3"/>
        </dgm:presLayoutVars>
      </dgm:prSet>
      <dgm:spPr/>
      <dgm:t>
        <a:bodyPr/>
        <a:lstStyle/>
        <a:p>
          <a:endParaRPr lang="pt-BR"/>
        </a:p>
      </dgm:t>
    </dgm:pt>
    <dgm:pt modelId="{9B8AB252-1B90-4527-9C87-49A5B6944191}" type="pres">
      <dgm:prSet presAssocID="{CB43D28D-C181-4F81-A194-0435082A5B2B}" presName="rootConnector1" presStyleLbl="node1" presStyleIdx="0" presStyleCnt="0"/>
      <dgm:spPr/>
      <dgm:t>
        <a:bodyPr/>
        <a:lstStyle/>
        <a:p>
          <a:endParaRPr lang="pt-BR"/>
        </a:p>
      </dgm:t>
    </dgm:pt>
    <dgm:pt modelId="{82F3CBD9-3C44-4A60-9C8B-4928A5342DF1}" type="pres">
      <dgm:prSet presAssocID="{CB43D28D-C181-4F81-A194-0435082A5B2B}" presName="hierChild2" presStyleCnt="0"/>
      <dgm:spPr/>
    </dgm:pt>
    <dgm:pt modelId="{7CF5D125-675F-48D5-9EE9-0E6B9ACFC744}" type="pres">
      <dgm:prSet presAssocID="{D1E9E176-947D-4119-A307-1085D92DA0BB}" presName="Name64" presStyleLbl="parChTrans1D2" presStyleIdx="0" presStyleCnt="4"/>
      <dgm:spPr/>
      <dgm:t>
        <a:bodyPr/>
        <a:lstStyle/>
        <a:p>
          <a:endParaRPr lang="pt-BR"/>
        </a:p>
      </dgm:t>
    </dgm:pt>
    <dgm:pt modelId="{4A1777DB-B799-450F-A214-302B285C54A1}" type="pres">
      <dgm:prSet presAssocID="{650344FA-3734-4678-8D1A-3673C2209DE1}" presName="hierRoot2" presStyleCnt="0">
        <dgm:presLayoutVars>
          <dgm:hierBranch val="init"/>
        </dgm:presLayoutVars>
      </dgm:prSet>
      <dgm:spPr/>
    </dgm:pt>
    <dgm:pt modelId="{97B5F3A0-37E8-4AB5-9686-A1DCCD87B93D}" type="pres">
      <dgm:prSet presAssocID="{650344FA-3734-4678-8D1A-3673C2209DE1}" presName="rootComposite" presStyleCnt="0"/>
      <dgm:spPr/>
    </dgm:pt>
    <dgm:pt modelId="{A951FED6-D3BC-4AC3-95AA-3AF37C4CF38C}" type="pres">
      <dgm:prSet presAssocID="{650344FA-3734-4678-8D1A-3673C2209DE1}" presName="rootText" presStyleLbl="node2" presStyleIdx="0" presStyleCnt="4">
        <dgm:presLayoutVars>
          <dgm:chPref val="3"/>
        </dgm:presLayoutVars>
      </dgm:prSet>
      <dgm:spPr/>
      <dgm:t>
        <a:bodyPr/>
        <a:lstStyle/>
        <a:p>
          <a:endParaRPr lang="pt-BR"/>
        </a:p>
      </dgm:t>
    </dgm:pt>
    <dgm:pt modelId="{E1D803A3-33CE-4AE7-A746-EBDFE73EFA51}" type="pres">
      <dgm:prSet presAssocID="{650344FA-3734-4678-8D1A-3673C2209DE1}" presName="rootConnector" presStyleLbl="node2" presStyleIdx="0" presStyleCnt="4"/>
      <dgm:spPr/>
      <dgm:t>
        <a:bodyPr/>
        <a:lstStyle/>
        <a:p>
          <a:endParaRPr lang="pt-BR"/>
        </a:p>
      </dgm:t>
    </dgm:pt>
    <dgm:pt modelId="{DA1FBEAF-6F97-4532-9F81-3E8AFB9F22FC}" type="pres">
      <dgm:prSet presAssocID="{650344FA-3734-4678-8D1A-3673C2209DE1}" presName="hierChild4" presStyleCnt="0"/>
      <dgm:spPr/>
    </dgm:pt>
    <dgm:pt modelId="{CFF7ED55-B581-423C-8556-33588D3E9049}" type="pres">
      <dgm:prSet presAssocID="{650344FA-3734-4678-8D1A-3673C2209DE1}" presName="hierChild5" presStyleCnt="0"/>
      <dgm:spPr/>
    </dgm:pt>
    <dgm:pt modelId="{31874E5E-68DD-414D-9413-F7CEB4A2FB31}" type="pres">
      <dgm:prSet presAssocID="{F063C759-5D70-4981-8239-EDEF6BEF2FC2}" presName="Name64" presStyleLbl="parChTrans1D2" presStyleIdx="1" presStyleCnt="4"/>
      <dgm:spPr/>
      <dgm:t>
        <a:bodyPr/>
        <a:lstStyle/>
        <a:p>
          <a:endParaRPr lang="pt-BR"/>
        </a:p>
      </dgm:t>
    </dgm:pt>
    <dgm:pt modelId="{B22589B9-E111-4049-AF02-EFEFE3EAA893}" type="pres">
      <dgm:prSet presAssocID="{22A072A8-F09D-4A1D-AC3A-501149D7305C}" presName="hierRoot2" presStyleCnt="0">
        <dgm:presLayoutVars>
          <dgm:hierBranch val="init"/>
        </dgm:presLayoutVars>
      </dgm:prSet>
      <dgm:spPr/>
    </dgm:pt>
    <dgm:pt modelId="{4845AA3E-AC7E-48E3-A292-94D661373915}" type="pres">
      <dgm:prSet presAssocID="{22A072A8-F09D-4A1D-AC3A-501149D7305C}" presName="rootComposite" presStyleCnt="0"/>
      <dgm:spPr/>
    </dgm:pt>
    <dgm:pt modelId="{099C29BF-59F8-4D2F-B6CB-14A48AE48135}" type="pres">
      <dgm:prSet presAssocID="{22A072A8-F09D-4A1D-AC3A-501149D7305C}" presName="rootText" presStyleLbl="node2" presStyleIdx="1" presStyleCnt="4">
        <dgm:presLayoutVars>
          <dgm:chPref val="3"/>
        </dgm:presLayoutVars>
      </dgm:prSet>
      <dgm:spPr/>
      <dgm:t>
        <a:bodyPr/>
        <a:lstStyle/>
        <a:p>
          <a:endParaRPr lang="pt-BR"/>
        </a:p>
      </dgm:t>
    </dgm:pt>
    <dgm:pt modelId="{320095C8-93E6-41A7-B43B-3E82194A6EEC}" type="pres">
      <dgm:prSet presAssocID="{22A072A8-F09D-4A1D-AC3A-501149D7305C}" presName="rootConnector" presStyleLbl="node2" presStyleIdx="1" presStyleCnt="4"/>
      <dgm:spPr/>
      <dgm:t>
        <a:bodyPr/>
        <a:lstStyle/>
        <a:p>
          <a:endParaRPr lang="pt-BR"/>
        </a:p>
      </dgm:t>
    </dgm:pt>
    <dgm:pt modelId="{5FA10AA0-D491-47DE-849C-B943E1B26931}" type="pres">
      <dgm:prSet presAssocID="{22A072A8-F09D-4A1D-AC3A-501149D7305C}" presName="hierChild4" presStyleCnt="0"/>
      <dgm:spPr/>
    </dgm:pt>
    <dgm:pt modelId="{8E6ECFE5-4342-49D5-A7DB-D5087014CEC5}" type="pres">
      <dgm:prSet presAssocID="{22A072A8-F09D-4A1D-AC3A-501149D7305C}" presName="hierChild5" presStyleCnt="0"/>
      <dgm:spPr/>
    </dgm:pt>
    <dgm:pt modelId="{8470E292-FE73-4C69-907C-486C71CFD274}" type="pres">
      <dgm:prSet presAssocID="{1CFBCEEC-30CE-4082-A023-A96F316604FC}" presName="Name64" presStyleLbl="parChTrans1D2" presStyleIdx="2" presStyleCnt="4"/>
      <dgm:spPr/>
      <dgm:t>
        <a:bodyPr/>
        <a:lstStyle/>
        <a:p>
          <a:endParaRPr lang="pt-BR"/>
        </a:p>
      </dgm:t>
    </dgm:pt>
    <dgm:pt modelId="{5CC41EB0-F794-4F81-8E48-E9D7923EE94F}" type="pres">
      <dgm:prSet presAssocID="{D5D614DF-7FC2-405A-8380-2AC9D794733B}" presName="hierRoot2" presStyleCnt="0">
        <dgm:presLayoutVars>
          <dgm:hierBranch val="init"/>
        </dgm:presLayoutVars>
      </dgm:prSet>
      <dgm:spPr/>
    </dgm:pt>
    <dgm:pt modelId="{AF0E212D-57E2-4319-812D-D807A22B2D68}" type="pres">
      <dgm:prSet presAssocID="{D5D614DF-7FC2-405A-8380-2AC9D794733B}" presName="rootComposite" presStyleCnt="0"/>
      <dgm:spPr/>
    </dgm:pt>
    <dgm:pt modelId="{A1354CC5-3415-445C-9D60-465DD4276BAE}" type="pres">
      <dgm:prSet presAssocID="{D5D614DF-7FC2-405A-8380-2AC9D794733B}" presName="rootText" presStyleLbl="node2" presStyleIdx="2" presStyleCnt="4">
        <dgm:presLayoutVars>
          <dgm:chPref val="3"/>
        </dgm:presLayoutVars>
      </dgm:prSet>
      <dgm:spPr/>
      <dgm:t>
        <a:bodyPr/>
        <a:lstStyle/>
        <a:p>
          <a:endParaRPr lang="pt-BR"/>
        </a:p>
      </dgm:t>
    </dgm:pt>
    <dgm:pt modelId="{EAFB4662-268C-4D3D-AEFB-BAD9EF321E58}" type="pres">
      <dgm:prSet presAssocID="{D5D614DF-7FC2-405A-8380-2AC9D794733B}" presName="rootConnector" presStyleLbl="node2" presStyleIdx="2" presStyleCnt="4"/>
      <dgm:spPr/>
      <dgm:t>
        <a:bodyPr/>
        <a:lstStyle/>
        <a:p>
          <a:endParaRPr lang="pt-BR"/>
        </a:p>
      </dgm:t>
    </dgm:pt>
    <dgm:pt modelId="{EBADD9FC-A8C7-4656-B469-1788DED85565}" type="pres">
      <dgm:prSet presAssocID="{D5D614DF-7FC2-405A-8380-2AC9D794733B}" presName="hierChild4" presStyleCnt="0"/>
      <dgm:spPr/>
    </dgm:pt>
    <dgm:pt modelId="{2C52B242-2CF2-418A-97D1-A4CF97EF11F3}" type="pres">
      <dgm:prSet presAssocID="{D5D614DF-7FC2-405A-8380-2AC9D794733B}" presName="hierChild5" presStyleCnt="0"/>
      <dgm:spPr/>
    </dgm:pt>
    <dgm:pt modelId="{3B8E664E-9E9D-40E1-9651-572D68CC1B19}" type="pres">
      <dgm:prSet presAssocID="{87DB9047-EE76-461E-92E6-A7ED764557BF}" presName="Name64" presStyleLbl="parChTrans1D2" presStyleIdx="3" presStyleCnt="4"/>
      <dgm:spPr/>
      <dgm:t>
        <a:bodyPr/>
        <a:lstStyle/>
        <a:p>
          <a:endParaRPr lang="pt-BR"/>
        </a:p>
      </dgm:t>
    </dgm:pt>
    <dgm:pt modelId="{0949ED57-B5BC-4254-B394-7750F13EB985}" type="pres">
      <dgm:prSet presAssocID="{71909E0F-114F-46F8-93F0-3FF532D9302B}" presName="hierRoot2" presStyleCnt="0">
        <dgm:presLayoutVars>
          <dgm:hierBranch val="init"/>
        </dgm:presLayoutVars>
      </dgm:prSet>
      <dgm:spPr/>
    </dgm:pt>
    <dgm:pt modelId="{77394513-7DD1-4D9B-848B-127DDF36BECD}" type="pres">
      <dgm:prSet presAssocID="{71909E0F-114F-46F8-93F0-3FF532D9302B}" presName="rootComposite" presStyleCnt="0"/>
      <dgm:spPr/>
    </dgm:pt>
    <dgm:pt modelId="{9D229011-DE37-4E85-AD5D-DEF2B6F87E2A}" type="pres">
      <dgm:prSet presAssocID="{71909E0F-114F-46F8-93F0-3FF532D9302B}" presName="rootText" presStyleLbl="node2" presStyleIdx="3" presStyleCnt="4">
        <dgm:presLayoutVars>
          <dgm:chPref val="3"/>
        </dgm:presLayoutVars>
      </dgm:prSet>
      <dgm:spPr/>
      <dgm:t>
        <a:bodyPr/>
        <a:lstStyle/>
        <a:p>
          <a:endParaRPr lang="pt-BR"/>
        </a:p>
      </dgm:t>
    </dgm:pt>
    <dgm:pt modelId="{1BF7D136-A520-45F7-886D-DAB5F7ED3142}" type="pres">
      <dgm:prSet presAssocID="{71909E0F-114F-46F8-93F0-3FF532D9302B}" presName="rootConnector" presStyleLbl="node2" presStyleIdx="3" presStyleCnt="4"/>
      <dgm:spPr/>
      <dgm:t>
        <a:bodyPr/>
        <a:lstStyle/>
        <a:p>
          <a:endParaRPr lang="pt-BR"/>
        </a:p>
      </dgm:t>
    </dgm:pt>
    <dgm:pt modelId="{52B5720C-908C-474F-B6C0-8EB781DFBAF8}" type="pres">
      <dgm:prSet presAssocID="{71909E0F-114F-46F8-93F0-3FF532D9302B}" presName="hierChild4" presStyleCnt="0"/>
      <dgm:spPr/>
    </dgm:pt>
    <dgm:pt modelId="{06842FF2-D798-4D76-94BD-39D9EC688797}" type="pres">
      <dgm:prSet presAssocID="{71909E0F-114F-46F8-93F0-3FF532D9302B}" presName="hierChild5" presStyleCnt="0"/>
      <dgm:spPr/>
    </dgm:pt>
    <dgm:pt modelId="{1D9C603D-4A09-4AFA-8ED2-88D64060449E}" type="pres">
      <dgm:prSet presAssocID="{CB43D28D-C181-4F81-A194-0435082A5B2B}" presName="hierChild3" presStyleCnt="0"/>
      <dgm:spPr/>
    </dgm:pt>
  </dgm:ptLst>
  <dgm:cxnLst>
    <dgm:cxn modelId="{13D33CA1-2DEE-45C0-A1D1-378BCB99ECE9}" type="presOf" srcId="{87DB9047-EE76-461E-92E6-A7ED764557BF}" destId="{3B8E664E-9E9D-40E1-9651-572D68CC1B19}" srcOrd="0" destOrd="0" presId="urn:microsoft.com/office/officeart/2009/3/layout/HorizontalOrganizationChart"/>
    <dgm:cxn modelId="{54EEFAD3-4CB6-4A05-9999-56FE3EFD40B5}" type="presOf" srcId="{CB43D28D-C181-4F81-A194-0435082A5B2B}" destId="{353B73D2-4BCF-470E-BBAD-B5263766738B}" srcOrd="0" destOrd="0" presId="urn:microsoft.com/office/officeart/2009/3/layout/HorizontalOrganizationChart"/>
    <dgm:cxn modelId="{D370E2E3-D3C6-445E-86EF-4D9C5FEF596C}" type="presOf" srcId="{D5D614DF-7FC2-405A-8380-2AC9D794733B}" destId="{EAFB4662-268C-4D3D-AEFB-BAD9EF321E58}" srcOrd="1" destOrd="0" presId="urn:microsoft.com/office/officeart/2009/3/layout/HorizontalOrganizationChart"/>
    <dgm:cxn modelId="{51E4F8E2-3C17-4E3B-9342-14DCF4ECB1F4}" type="presOf" srcId="{0E04B87E-8DB9-43BD-9F3A-26644A810B77}" destId="{D2C0620A-5C55-4E1E-94D4-B916DEF2A22F}" srcOrd="0" destOrd="0" presId="urn:microsoft.com/office/officeart/2009/3/layout/HorizontalOrganizationChart"/>
    <dgm:cxn modelId="{BF50A03E-AE03-4923-92E8-3DEC90D25291}" srcId="{CB43D28D-C181-4F81-A194-0435082A5B2B}" destId="{650344FA-3734-4678-8D1A-3673C2209DE1}" srcOrd="0" destOrd="0" parTransId="{D1E9E176-947D-4119-A307-1085D92DA0BB}" sibTransId="{59E3C7E4-548B-4CE3-8EC1-A3878767DD83}"/>
    <dgm:cxn modelId="{8BAEFFCB-7E3A-4F3E-BFDA-8E627265CA59}" type="presOf" srcId="{650344FA-3734-4678-8D1A-3673C2209DE1}" destId="{E1D803A3-33CE-4AE7-A746-EBDFE73EFA51}" srcOrd="1" destOrd="0" presId="urn:microsoft.com/office/officeart/2009/3/layout/HorizontalOrganizationChart"/>
    <dgm:cxn modelId="{F88F7962-4F32-42D8-B7B0-7A50C2B0E964}" type="presOf" srcId="{22A072A8-F09D-4A1D-AC3A-501149D7305C}" destId="{320095C8-93E6-41A7-B43B-3E82194A6EEC}" srcOrd="1" destOrd="0" presId="urn:microsoft.com/office/officeart/2009/3/layout/HorizontalOrganizationChart"/>
    <dgm:cxn modelId="{796D683F-6598-48A1-A378-FF7579055454}" type="presOf" srcId="{D5D614DF-7FC2-405A-8380-2AC9D794733B}" destId="{A1354CC5-3415-445C-9D60-465DD4276BAE}" srcOrd="0" destOrd="0" presId="urn:microsoft.com/office/officeart/2009/3/layout/HorizontalOrganizationChart"/>
    <dgm:cxn modelId="{C5F53A88-86F4-4E8A-BEAD-2654B67A79DC}" type="presOf" srcId="{71909E0F-114F-46F8-93F0-3FF532D9302B}" destId="{9D229011-DE37-4E85-AD5D-DEF2B6F87E2A}" srcOrd="0" destOrd="0" presId="urn:microsoft.com/office/officeart/2009/3/layout/HorizontalOrganizationChart"/>
    <dgm:cxn modelId="{D20E0A5E-0F4D-4EA2-9802-3DD0D056AA72}" type="presOf" srcId="{D1E9E176-947D-4119-A307-1085D92DA0BB}" destId="{7CF5D125-675F-48D5-9EE9-0E6B9ACFC744}" srcOrd="0" destOrd="0" presId="urn:microsoft.com/office/officeart/2009/3/layout/HorizontalOrganizationChart"/>
    <dgm:cxn modelId="{DBAC1BD7-5D8C-4406-AA5B-730D46807294}" srcId="{CB43D28D-C181-4F81-A194-0435082A5B2B}" destId="{71909E0F-114F-46F8-93F0-3FF532D9302B}" srcOrd="3" destOrd="0" parTransId="{87DB9047-EE76-461E-92E6-A7ED764557BF}" sibTransId="{2DA9049F-F5A5-4382-9315-3B8AC6915FC8}"/>
    <dgm:cxn modelId="{125D11C0-5D3C-41EF-AC2E-DDD19B99A5A3}" type="presOf" srcId="{1CFBCEEC-30CE-4082-A023-A96F316604FC}" destId="{8470E292-FE73-4C69-907C-486C71CFD274}" srcOrd="0" destOrd="0" presId="urn:microsoft.com/office/officeart/2009/3/layout/HorizontalOrganizationChart"/>
    <dgm:cxn modelId="{53B422BC-500E-4B13-AE32-79FB2880E89F}" type="presOf" srcId="{650344FA-3734-4678-8D1A-3673C2209DE1}" destId="{A951FED6-D3BC-4AC3-95AA-3AF37C4CF38C}" srcOrd="0" destOrd="0" presId="urn:microsoft.com/office/officeart/2009/3/layout/HorizontalOrganizationChart"/>
    <dgm:cxn modelId="{0959D455-08F9-4776-AB54-99D46D177CEA}" type="presOf" srcId="{CB43D28D-C181-4F81-A194-0435082A5B2B}" destId="{9B8AB252-1B90-4527-9C87-49A5B6944191}" srcOrd="1" destOrd="0" presId="urn:microsoft.com/office/officeart/2009/3/layout/HorizontalOrganizationChart"/>
    <dgm:cxn modelId="{D4CD9649-C34C-4D13-93CC-4BAFFE0090D9}" type="presOf" srcId="{F063C759-5D70-4981-8239-EDEF6BEF2FC2}" destId="{31874E5E-68DD-414D-9413-F7CEB4A2FB31}" srcOrd="0" destOrd="0" presId="urn:microsoft.com/office/officeart/2009/3/layout/HorizontalOrganizationChart"/>
    <dgm:cxn modelId="{9AE36553-D76C-4783-9CBE-60EC24BDC683}" srcId="{CB43D28D-C181-4F81-A194-0435082A5B2B}" destId="{22A072A8-F09D-4A1D-AC3A-501149D7305C}" srcOrd="1" destOrd="0" parTransId="{F063C759-5D70-4981-8239-EDEF6BEF2FC2}" sibTransId="{B8E9CF47-25EC-43A0-A4BE-99A41A68F4D7}"/>
    <dgm:cxn modelId="{AE935169-3BDC-4374-9DA6-DD7B464FD84B}" srcId="{CB43D28D-C181-4F81-A194-0435082A5B2B}" destId="{D5D614DF-7FC2-405A-8380-2AC9D794733B}" srcOrd="2" destOrd="0" parTransId="{1CFBCEEC-30CE-4082-A023-A96F316604FC}" sibTransId="{7DC09653-CAA5-470D-BDFC-5BCAAD8CE908}"/>
    <dgm:cxn modelId="{CD153B82-E463-4D55-B56E-0C1E099A8E16}" type="presOf" srcId="{71909E0F-114F-46F8-93F0-3FF532D9302B}" destId="{1BF7D136-A520-45F7-886D-DAB5F7ED3142}" srcOrd="1" destOrd="0" presId="urn:microsoft.com/office/officeart/2009/3/layout/HorizontalOrganizationChart"/>
    <dgm:cxn modelId="{3B6426FA-F276-4387-A567-D41AC0A89889}" srcId="{0E04B87E-8DB9-43BD-9F3A-26644A810B77}" destId="{CB43D28D-C181-4F81-A194-0435082A5B2B}" srcOrd="0" destOrd="0" parTransId="{F5466281-93E6-4826-BFBF-2F6DEB9B71CD}" sibTransId="{5318B9ED-BC41-4DCF-BCA8-CB6395169DC3}"/>
    <dgm:cxn modelId="{D2E326C9-23B3-4AE8-B0C9-466EBCB07D8E}" type="presOf" srcId="{22A072A8-F09D-4A1D-AC3A-501149D7305C}" destId="{099C29BF-59F8-4D2F-B6CB-14A48AE48135}" srcOrd="0" destOrd="0" presId="urn:microsoft.com/office/officeart/2009/3/layout/HorizontalOrganizationChart"/>
    <dgm:cxn modelId="{64007ADF-A992-4013-A029-271EA2D4B496}" type="presParOf" srcId="{D2C0620A-5C55-4E1E-94D4-B916DEF2A22F}" destId="{D49EC488-B09B-4BB7-87D5-492C26703C32}" srcOrd="0" destOrd="0" presId="urn:microsoft.com/office/officeart/2009/3/layout/HorizontalOrganizationChart"/>
    <dgm:cxn modelId="{A66A9137-664F-4AF2-AE92-AD9261420573}" type="presParOf" srcId="{D49EC488-B09B-4BB7-87D5-492C26703C32}" destId="{BAFB9EB7-A8A9-40BB-B7FC-97780CAF967D}" srcOrd="0" destOrd="0" presId="urn:microsoft.com/office/officeart/2009/3/layout/HorizontalOrganizationChart"/>
    <dgm:cxn modelId="{9D562057-6139-427E-BE09-A8F3F8235DA3}" type="presParOf" srcId="{BAFB9EB7-A8A9-40BB-B7FC-97780CAF967D}" destId="{353B73D2-4BCF-470E-BBAD-B5263766738B}" srcOrd="0" destOrd="0" presId="urn:microsoft.com/office/officeart/2009/3/layout/HorizontalOrganizationChart"/>
    <dgm:cxn modelId="{1C9F730C-C4C7-4409-8AED-6F689DC892EB}" type="presParOf" srcId="{BAFB9EB7-A8A9-40BB-B7FC-97780CAF967D}" destId="{9B8AB252-1B90-4527-9C87-49A5B6944191}" srcOrd="1" destOrd="0" presId="urn:microsoft.com/office/officeart/2009/3/layout/HorizontalOrganizationChart"/>
    <dgm:cxn modelId="{F56DFDBA-42DC-458E-AA12-D389D65C8156}" type="presParOf" srcId="{D49EC488-B09B-4BB7-87D5-492C26703C32}" destId="{82F3CBD9-3C44-4A60-9C8B-4928A5342DF1}" srcOrd="1" destOrd="0" presId="urn:microsoft.com/office/officeart/2009/3/layout/HorizontalOrganizationChart"/>
    <dgm:cxn modelId="{B40A40CF-1887-48C6-886E-E565D7C2C47A}" type="presParOf" srcId="{82F3CBD9-3C44-4A60-9C8B-4928A5342DF1}" destId="{7CF5D125-675F-48D5-9EE9-0E6B9ACFC744}" srcOrd="0" destOrd="0" presId="urn:microsoft.com/office/officeart/2009/3/layout/HorizontalOrganizationChart"/>
    <dgm:cxn modelId="{4C7B42D9-C22F-436E-BAAA-2712F8D58309}" type="presParOf" srcId="{82F3CBD9-3C44-4A60-9C8B-4928A5342DF1}" destId="{4A1777DB-B799-450F-A214-302B285C54A1}" srcOrd="1" destOrd="0" presId="urn:microsoft.com/office/officeart/2009/3/layout/HorizontalOrganizationChart"/>
    <dgm:cxn modelId="{90396BAA-4ED9-4706-8DBA-2143137DB71F}" type="presParOf" srcId="{4A1777DB-B799-450F-A214-302B285C54A1}" destId="{97B5F3A0-37E8-4AB5-9686-A1DCCD87B93D}" srcOrd="0" destOrd="0" presId="urn:microsoft.com/office/officeart/2009/3/layout/HorizontalOrganizationChart"/>
    <dgm:cxn modelId="{0E02E710-73F3-4DBC-B564-C79A962BC966}" type="presParOf" srcId="{97B5F3A0-37E8-4AB5-9686-A1DCCD87B93D}" destId="{A951FED6-D3BC-4AC3-95AA-3AF37C4CF38C}" srcOrd="0" destOrd="0" presId="urn:microsoft.com/office/officeart/2009/3/layout/HorizontalOrganizationChart"/>
    <dgm:cxn modelId="{130DEBE9-4D6A-43BC-9C37-937ABB4DB59A}" type="presParOf" srcId="{97B5F3A0-37E8-4AB5-9686-A1DCCD87B93D}" destId="{E1D803A3-33CE-4AE7-A746-EBDFE73EFA51}" srcOrd="1" destOrd="0" presId="urn:microsoft.com/office/officeart/2009/3/layout/HorizontalOrganizationChart"/>
    <dgm:cxn modelId="{3173399E-8021-4FD9-AD23-E1BC1C895377}" type="presParOf" srcId="{4A1777DB-B799-450F-A214-302B285C54A1}" destId="{DA1FBEAF-6F97-4532-9F81-3E8AFB9F22FC}" srcOrd="1" destOrd="0" presId="urn:microsoft.com/office/officeart/2009/3/layout/HorizontalOrganizationChart"/>
    <dgm:cxn modelId="{DAC4876A-99D1-47F8-BA19-66D2A01483D0}" type="presParOf" srcId="{4A1777DB-B799-450F-A214-302B285C54A1}" destId="{CFF7ED55-B581-423C-8556-33588D3E9049}" srcOrd="2" destOrd="0" presId="urn:microsoft.com/office/officeart/2009/3/layout/HorizontalOrganizationChart"/>
    <dgm:cxn modelId="{59015620-F94B-4EAE-BA41-BAFC93824F7A}" type="presParOf" srcId="{82F3CBD9-3C44-4A60-9C8B-4928A5342DF1}" destId="{31874E5E-68DD-414D-9413-F7CEB4A2FB31}" srcOrd="2" destOrd="0" presId="urn:microsoft.com/office/officeart/2009/3/layout/HorizontalOrganizationChart"/>
    <dgm:cxn modelId="{8781F9A9-531B-4A50-A8F3-350B68035C53}" type="presParOf" srcId="{82F3CBD9-3C44-4A60-9C8B-4928A5342DF1}" destId="{B22589B9-E111-4049-AF02-EFEFE3EAA893}" srcOrd="3" destOrd="0" presId="urn:microsoft.com/office/officeart/2009/3/layout/HorizontalOrganizationChart"/>
    <dgm:cxn modelId="{C1FA8DF0-859B-4235-9FC8-9CA294A66058}" type="presParOf" srcId="{B22589B9-E111-4049-AF02-EFEFE3EAA893}" destId="{4845AA3E-AC7E-48E3-A292-94D661373915}" srcOrd="0" destOrd="0" presId="urn:microsoft.com/office/officeart/2009/3/layout/HorizontalOrganizationChart"/>
    <dgm:cxn modelId="{FB84D303-3955-4FE9-9FBD-F7E90635DD52}" type="presParOf" srcId="{4845AA3E-AC7E-48E3-A292-94D661373915}" destId="{099C29BF-59F8-4D2F-B6CB-14A48AE48135}" srcOrd="0" destOrd="0" presId="urn:microsoft.com/office/officeart/2009/3/layout/HorizontalOrganizationChart"/>
    <dgm:cxn modelId="{309AC448-180B-4B09-B386-208C1272413F}" type="presParOf" srcId="{4845AA3E-AC7E-48E3-A292-94D661373915}" destId="{320095C8-93E6-41A7-B43B-3E82194A6EEC}" srcOrd="1" destOrd="0" presId="urn:microsoft.com/office/officeart/2009/3/layout/HorizontalOrganizationChart"/>
    <dgm:cxn modelId="{86BD3604-5C32-4A67-9357-DDAB647D741D}" type="presParOf" srcId="{B22589B9-E111-4049-AF02-EFEFE3EAA893}" destId="{5FA10AA0-D491-47DE-849C-B943E1B26931}" srcOrd="1" destOrd="0" presId="urn:microsoft.com/office/officeart/2009/3/layout/HorizontalOrganizationChart"/>
    <dgm:cxn modelId="{2CDC9F94-739B-4864-93B3-A8B997F54FF0}" type="presParOf" srcId="{B22589B9-E111-4049-AF02-EFEFE3EAA893}" destId="{8E6ECFE5-4342-49D5-A7DB-D5087014CEC5}" srcOrd="2" destOrd="0" presId="urn:microsoft.com/office/officeart/2009/3/layout/HorizontalOrganizationChart"/>
    <dgm:cxn modelId="{41DC8F2E-FDC5-488D-9D7D-3F1F47698019}" type="presParOf" srcId="{82F3CBD9-3C44-4A60-9C8B-4928A5342DF1}" destId="{8470E292-FE73-4C69-907C-486C71CFD274}" srcOrd="4" destOrd="0" presId="urn:microsoft.com/office/officeart/2009/3/layout/HorizontalOrganizationChart"/>
    <dgm:cxn modelId="{6785CB7C-1CD6-46C2-A010-1E5AA3B84CDE}" type="presParOf" srcId="{82F3CBD9-3C44-4A60-9C8B-4928A5342DF1}" destId="{5CC41EB0-F794-4F81-8E48-E9D7923EE94F}" srcOrd="5" destOrd="0" presId="urn:microsoft.com/office/officeart/2009/3/layout/HorizontalOrganizationChart"/>
    <dgm:cxn modelId="{99AACA8B-E9F8-4F6F-887A-8DEC1913E509}" type="presParOf" srcId="{5CC41EB0-F794-4F81-8E48-E9D7923EE94F}" destId="{AF0E212D-57E2-4319-812D-D807A22B2D68}" srcOrd="0" destOrd="0" presId="urn:microsoft.com/office/officeart/2009/3/layout/HorizontalOrganizationChart"/>
    <dgm:cxn modelId="{ABDF1C49-E6E9-4B8B-AEB6-58BAC6353491}" type="presParOf" srcId="{AF0E212D-57E2-4319-812D-D807A22B2D68}" destId="{A1354CC5-3415-445C-9D60-465DD4276BAE}" srcOrd="0" destOrd="0" presId="urn:microsoft.com/office/officeart/2009/3/layout/HorizontalOrganizationChart"/>
    <dgm:cxn modelId="{2BFE08D5-EF51-4A53-A440-84D06C620265}" type="presParOf" srcId="{AF0E212D-57E2-4319-812D-D807A22B2D68}" destId="{EAFB4662-268C-4D3D-AEFB-BAD9EF321E58}" srcOrd="1" destOrd="0" presId="urn:microsoft.com/office/officeart/2009/3/layout/HorizontalOrganizationChart"/>
    <dgm:cxn modelId="{9E5B5387-6778-4044-9853-28BEE9C1BA57}" type="presParOf" srcId="{5CC41EB0-F794-4F81-8E48-E9D7923EE94F}" destId="{EBADD9FC-A8C7-4656-B469-1788DED85565}" srcOrd="1" destOrd="0" presId="urn:microsoft.com/office/officeart/2009/3/layout/HorizontalOrganizationChart"/>
    <dgm:cxn modelId="{9A18ECB0-D887-49AA-AF10-9BB5A3845333}" type="presParOf" srcId="{5CC41EB0-F794-4F81-8E48-E9D7923EE94F}" destId="{2C52B242-2CF2-418A-97D1-A4CF97EF11F3}" srcOrd="2" destOrd="0" presId="urn:microsoft.com/office/officeart/2009/3/layout/HorizontalOrganizationChart"/>
    <dgm:cxn modelId="{2615D374-1EAB-4D8E-A6E2-F263C492EBB2}" type="presParOf" srcId="{82F3CBD9-3C44-4A60-9C8B-4928A5342DF1}" destId="{3B8E664E-9E9D-40E1-9651-572D68CC1B19}" srcOrd="6" destOrd="0" presId="urn:microsoft.com/office/officeart/2009/3/layout/HorizontalOrganizationChart"/>
    <dgm:cxn modelId="{0EA644C1-AC00-4C42-9C08-FF238A207C6C}" type="presParOf" srcId="{82F3CBD9-3C44-4A60-9C8B-4928A5342DF1}" destId="{0949ED57-B5BC-4254-B394-7750F13EB985}" srcOrd="7" destOrd="0" presId="urn:microsoft.com/office/officeart/2009/3/layout/HorizontalOrganizationChart"/>
    <dgm:cxn modelId="{EE371E6C-2A81-402C-9DA3-3047483E0D19}" type="presParOf" srcId="{0949ED57-B5BC-4254-B394-7750F13EB985}" destId="{77394513-7DD1-4D9B-848B-127DDF36BECD}" srcOrd="0" destOrd="0" presId="urn:microsoft.com/office/officeart/2009/3/layout/HorizontalOrganizationChart"/>
    <dgm:cxn modelId="{A03A0269-3F4C-49D5-B60C-CE2E060F50D1}" type="presParOf" srcId="{77394513-7DD1-4D9B-848B-127DDF36BECD}" destId="{9D229011-DE37-4E85-AD5D-DEF2B6F87E2A}" srcOrd="0" destOrd="0" presId="urn:microsoft.com/office/officeart/2009/3/layout/HorizontalOrganizationChart"/>
    <dgm:cxn modelId="{ABDCCEA5-E3B5-4A13-811F-AE0DFD2B6721}" type="presParOf" srcId="{77394513-7DD1-4D9B-848B-127DDF36BECD}" destId="{1BF7D136-A520-45F7-886D-DAB5F7ED3142}" srcOrd="1" destOrd="0" presId="urn:microsoft.com/office/officeart/2009/3/layout/HorizontalOrganizationChart"/>
    <dgm:cxn modelId="{3123E642-4A17-404A-99DD-680EB179A731}" type="presParOf" srcId="{0949ED57-B5BC-4254-B394-7750F13EB985}" destId="{52B5720C-908C-474F-B6C0-8EB781DFBAF8}" srcOrd="1" destOrd="0" presId="urn:microsoft.com/office/officeart/2009/3/layout/HorizontalOrganizationChart"/>
    <dgm:cxn modelId="{0A9775EF-02E9-4884-A0B1-14AA6CB6EC10}" type="presParOf" srcId="{0949ED57-B5BC-4254-B394-7750F13EB985}" destId="{06842FF2-D798-4D76-94BD-39D9EC688797}" srcOrd="2" destOrd="0" presId="urn:microsoft.com/office/officeart/2009/3/layout/HorizontalOrganizationChart"/>
    <dgm:cxn modelId="{DF185FE1-FE71-471A-A5B7-BB0656F7D9A1}" type="presParOf" srcId="{D49EC488-B09B-4BB7-87D5-492C26703C32}" destId="{1D9C603D-4A09-4AFA-8ED2-88D64060449E}" srcOrd="2" destOrd="0" presId="urn:microsoft.com/office/officeart/2009/3/layout/HorizontalOrganizationChart"/>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5DEE83C-7DF2-464C-B74D-9E1D5ABBB064}" type="doc">
      <dgm:prSet loTypeId="urn:microsoft.com/office/officeart/2005/8/layout/vList4" loCatId="picture" qsTypeId="urn:microsoft.com/office/officeart/2005/8/quickstyle/simple1" qsCatId="simple" csTypeId="urn:microsoft.com/office/officeart/2005/8/colors/colorful2" csCatId="colorful" phldr="1"/>
      <dgm:spPr/>
      <dgm:t>
        <a:bodyPr/>
        <a:lstStyle/>
        <a:p>
          <a:endParaRPr lang="pt-BR"/>
        </a:p>
      </dgm:t>
    </dgm:pt>
    <dgm:pt modelId="{29B0961E-B064-4134-8D22-864E2C792393}">
      <dgm:prSet phldrT="[Texto]"/>
      <dgm:spPr/>
      <dgm:t>
        <a:bodyPr/>
        <a:lstStyle/>
        <a:p>
          <a:r>
            <a:rPr lang="pt-BR"/>
            <a:t>3.1 - Pessoal e Encargos Sociais</a:t>
          </a:r>
        </a:p>
      </dgm:t>
    </dgm:pt>
    <dgm:pt modelId="{F623F130-DEFB-4654-8350-284776835DCC}" type="parTrans" cxnId="{B213AA96-B814-4EC1-A283-3EE9ED5E02BC}">
      <dgm:prSet/>
      <dgm:spPr/>
      <dgm:t>
        <a:bodyPr/>
        <a:lstStyle/>
        <a:p>
          <a:endParaRPr lang="pt-BR"/>
        </a:p>
      </dgm:t>
    </dgm:pt>
    <dgm:pt modelId="{4C61FC25-4857-498F-BE44-1EFE77337256}" type="sibTrans" cxnId="{B213AA96-B814-4EC1-A283-3EE9ED5E02BC}">
      <dgm:prSet/>
      <dgm:spPr/>
      <dgm:t>
        <a:bodyPr/>
        <a:lstStyle/>
        <a:p>
          <a:endParaRPr lang="pt-BR"/>
        </a:p>
      </dgm:t>
    </dgm:pt>
    <dgm:pt modelId="{C15E2800-6292-4FDA-AE8A-7A8A22D93692}">
      <dgm:prSet phldrT="[Texto]"/>
      <dgm:spPr/>
      <dgm:t>
        <a:bodyPr/>
        <a:lstStyle/>
        <a:p>
          <a:r>
            <a:rPr lang="pt-BR"/>
            <a:t>3.3 Outras Despesas Corrente</a:t>
          </a:r>
        </a:p>
      </dgm:t>
    </dgm:pt>
    <dgm:pt modelId="{F7F0B5B3-8F05-4D28-A1C8-05CD7DE5B509}" type="parTrans" cxnId="{32D0CB44-B77B-4D10-B486-DFD25C6C6DD7}">
      <dgm:prSet/>
      <dgm:spPr/>
      <dgm:t>
        <a:bodyPr/>
        <a:lstStyle/>
        <a:p>
          <a:endParaRPr lang="pt-BR"/>
        </a:p>
      </dgm:t>
    </dgm:pt>
    <dgm:pt modelId="{D74BE0B4-D35F-4ED6-8EEE-AA611AC74E69}" type="sibTrans" cxnId="{32D0CB44-B77B-4D10-B486-DFD25C6C6DD7}">
      <dgm:prSet/>
      <dgm:spPr/>
      <dgm:t>
        <a:bodyPr/>
        <a:lstStyle/>
        <a:p>
          <a:endParaRPr lang="pt-BR"/>
        </a:p>
      </dgm:t>
    </dgm:pt>
    <dgm:pt modelId="{BC1FDC5A-49BE-445C-8828-3BC919C3DA5F}">
      <dgm:prSet phldrT="[Texto]"/>
      <dgm:spPr/>
      <dgm:t>
        <a:bodyPr/>
        <a:lstStyle/>
        <a:p>
          <a:r>
            <a:rPr lang="pt-BR"/>
            <a:t>4.4 Investimentos</a:t>
          </a:r>
        </a:p>
        <a:p>
          <a:r>
            <a:rPr lang="pt-BR"/>
            <a:t>4.5 Inversões Financeiras</a:t>
          </a:r>
        </a:p>
      </dgm:t>
    </dgm:pt>
    <dgm:pt modelId="{2358564C-4B2E-4788-8333-9C3D4EA144DC}" type="parTrans" cxnId="{D55A0B0E-C463-41FC-A713-26556C27A198}">
      <dgm:prSet/>
      <dgm:spPr/>
      <dgm:t>
        <a:bodyPr/>
        <a:lstStyle/>
        <a:p>
          <a:endParaRPr lang="pt-BR"/>
        </a:p>
      </dgm:t>
    </dgm:pt>
    <dgm:pt modelId="{48A4A572-A598-4595-B07E-F10202C45D34}" type="sibTrans" cxnId="{D55A0B0E-C463-41FC-A713-26556C27A198}">
      <dgm:prSet/>
      <dgm:spPr/>
      <dgm:t>
        <a:bodyPr/>
        <a:lstStyle/>
        <a:p>
          <a:endParaRPr lang="pt-BR"/>
        </a:p>
      </dgm:t>
    </dgm:pt>
    <dgm:pt modelId="{B9847BBD-A3D1-4DE7-831D-8D48A605B743}" type="pres">
      <dgm:prSet presAssocID="{85DEE83C-7DF2-464C-B74D-9E1D5ABBB064}" presName="linear" presStyleCnt="0">
        <dgm:presLayoutVars>
          <dgm:dir/>
          <dgm:resizeHandles val="exact"/>
        </dgm:presLayoutVars>
      </dgm:prSet>
      <dgm:spPr/>
      <dgm:t>
        <a:bodyPr/>
        <a:lstStyle/>
        <a:p>
          <a:endParaRPr lang="pt-BR"/>
        </a:p>
      </dgm:t>
    </dgm:pt>
    <dgm:pt modelId="{CAD77897-A877-447D-BEE9-14C79F523A94}" type="pres">
      <dgm:prSet presAssocID="{29B0961E-B064-4134-8D22-864E2C792393}" presName="comp" presStyleCnt="0"/>
      <dgm:spPr/>
      <dgm:t>
        <a:bodyPr/>
        <a:lstStyle/>
        <a:p>
          <a:endParaRPr lang="pt-BR"/>
        </a:p>
      </dgm:t>
    </dgm:pt>
    <dgm:pt modelId="{59B3C1A9-2863-4972-BF7B-F9D3EAF1604F}" type="pres">
      <dgm:prSet presAssocID="{29B0961E-B064-4134-8D22-864E2C792393}" presName="box" presStyleLbl="node1" presStyleIdx="0" presStyleCnt="3"/>
      <dgm:spPr/>
      <dgm:t>
        <a:bodyPr/>
        <a:lstStyle/>
        <a:p>
          <a:endParaRPr lang="pt-BR"/>
        </a:p>
      </dgm:t>
    </dgm:pt>
    <dgm:pt modelId="{FA25CA79-2FD7-49DA-9937-37FEF3E5B909}" type="pres">
      <dgm:prSet presAssocID="{29B0961E-B064-4134-8D22-864E2C792393}" presName="img" presStyleLbl="fgImgPlace1" presStyleIdx="0" presStyleCnt="3"/>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94000" r="-94000"/>
          </a:stretch>
        </a:blipFill>
      </dgm:spPr>
      <dgm:t>
        <a:bodyPr/>
        <a:lstStyle/>
        <a:p>
          <a:endParaRPr lang="pt-BR"/>
        </a:p>
      </dgm:t>
    </dgm:pt>
    <dgm:pt modelId="{862F55A5-FD4B-4F37-9BA9-BB155F4A5E7A}" type="pres">
      <dgm:prSet presAssocID="{29B0961E-B064-4134-8D22-864E2C792393}" presName="text" presStyleLbl="node1" presStyleIdx="0" presStyleCnt="3">
        <dgm:presLayoutVars>
          <dgm:bulletEnabled val="1"/>
        </dgm:presLayoutVars>
      </dgm:prSet>
      <dgm:spPr/>
      <dgm:t>
        <a:bodyPr/>
        <a:lstStyle/>
        <a:p>
          <a:endParaRPr lang="pt-BR"/>
        </a:p>
      </dgm:t>
    </dgm:pt>
    <dgm:pt modelId="{CC60236F-4714-41D9-B896-30D6A797E6E6}" type="pres">
      <dgm:prSet presAssocID="{4C61FC25-4857-498F-BE44-1EFE77337256}" presName="spacer" presStyleCnt="0"/>
      <dgm:spPr/>
      <dgm:t>
        <a:bodyPr/>
        <a:lstStyle/>
        <a:p>
          <a:endParaRPr lang="pt-BR"/>
        </a:p>
      </dgm:t>
    </dgm:pt>
    <dgm:pt modelId="{3C0C1D44-65BE-4A65-88DC-3B7E3CD1BB46}" type="pres">
      <dgm:prSet presAssocID="{C15E2800-6292-4FDA-AE8A-7A8A22D93692}" presName="comp" presStyleCnt="0"/>
      <dgm:spPr/>
      <dgm:t>
        <a:bodyPr/>
        <a:lstStyle/>
        <a:p>
          <a:endParaRPr lang="pt-BR"/>
        </a:p>
      </dgm:t>
    </dgm:pt>
    <dgm:pt modelId="{F26AACED-D69E-4638-981F-B58B777C52E3}" type="pres">
      <dgm:prSet presAssocID="{C15E2800-6292-4FDA-AE8A-7A8A22D93692}" presName="box" presStyleLbl="node1" presStyleIdx="1" presStyleCnt="3"/>
      <dgm:spPr/>
      <dgm:t>
        <a:bodyPr/>
        <a:lstStyle/>
        <a:p>
          <a:endParaRPr lang="pt-BR"/>
        </a:p>
      </dgm:t>
    </dgm:pt>
    <dgm:pt modelId="{C761BCE5-7DDD-463A-B218-3C5A739A78C1}" type="pres">
      <dgm:prSet presAssocID="{C15E2800-6292-4FDA-AE8A-7A8A22D93692}" presName="img" presStyleLbl="fgImgPlace1" presStyleIdx="1" presStyleCnt="3"/>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95000" r="-95000"/>
          </a:stretch>
        </a:blipFill>
      </dgm:spPr>
      <dgm:t>
        <a:bodyPr/>
        <a:lstStyle/>
        <a:p>
          <a:endParaRPr lang="pt-BR"/>
        </a:p>
      </dgm:t>
    </dgm:pt>
    <dgm:pt modelId="{52D73706-1859-4873-908B-1ACC5ED83BD3}" type="pres">
      <dgm:prSet presAssocID="{C15E2800-6292-4FDA-AE8A-7A8A22D93692}" presName="text" presStyleLbl="node1" presStyleIdx="1" presStyleCnt="3">
        <dgm:presLayoutVars>
          <dgm:bulletEnabled val="1"/>
        </dgm:presLayoutVars>
      </dgm:prSet>
      <dgm:spPr/>
      <dgm:t>
        <a:bodyPr/>
        <a:lstStyle/>
        <a:p>
          <a:endParaRPr lang="pt-BR"/>
        </a:p>
      </dgm:t>
    </dgm:pt>
    <dgm:pt modelId="{83DA6978-C47A-452E-AEFE-6AFA5A4F10B6}" type="pres">
      <dgm:prSet presAssocID="{D74BE0B4-D35F-4ED6-8EEE-AA611AC74E69}" presName="spacer" presStyleCnt="0"/>
      <dgm:spPr/>
      <dgm:t>
        <a:bodyPr/>
        <a:lstStyle/>
        <a:p>
          <a:endParaRPr lang="pt-BR"/>
        </a:p>
      </dgm:t>
    </dgm:pt>
    <dgm:pt modelId="{070CC9C9-8DB2-4B5F-8E5E-3813BB169C9C}" type="pres">
      <dgm:prSet presAssocID="{BC1FDC5A-49BE-445C-8828-3BC919C3DA5F}" presName="comp" presStyleCnt="0"/>
      <dgm:spPr/>
      <dgm:t>
        <a:bodyPr/>
        <a:lstStyle/>
        <a:p>
          <a:endParaRPr lang="pt-BR"/>
        </a:p>
      </dgm:t>
    </dgm:pt>
    <dgm:pt modelId="{09B9A9FC-981A-4C10-985A-0432DF619B2E}" type="pres">
      <dgm:prSet presAssocID="{BC1FDC5A-49BE-445C-8828-3BC919C3DA5F}" presName="box" presStyleLbl="node1" presStyleIdx="2" presStyleCnt="3"/>
      <dgm:spPr/>
      <dgm:t>
        <a:bodyPr/>
        <a:lstStyle/>
        <a:p>
          <a:endParaRPr lang="pt-BR"/>
        </a:p>
      </dgm:t>
    </dgm:pt>
    <dgm:pt modelId="{75E74E14-FC30-4703-A1A8-8CAEFA0DD376}" type="pres">
      <dgm:prSet presAssocID="{BC1FDC5A-49BE-445C-8828-3BC919C3DA5F}" presName="img" presStyleLbl="fgImgPlace1" presStyleIdx="2" presStyleCnt="3"/>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97000" r="-97000"/>
          </a:stretch>
        </a:blipFill>
      </dgm:spPr>
      <dgm:t>
        <a:bodyPr/>
        <a:lstStyle/>
        <a:p>
          <a:endParaRPr lang="pt-BR"/>
        </a:p>
      </dgm:t>
    </dgm:pt>
    <dgm:pt modelId="{3F1946CD-06A1-487A-97B9-95232A1D4A0A}" type="pres">
      <dgm:prSet presAssocID="{BC1FDC5A-49BE-445C-8828-3BC919C3DA5F}" presName="text" presStyleLbl="node1" presStyleIdx="2" presStyleCnt="3">
        <dgm:presLayoutVars>
          <dgm:bulletEnabled val="1"/>
        </dgm:presLayoutVars>
      </dgm:prSet>
      <dgm:spPr/>
      <dgm:t>
        <a:bodyPr/>
        <a:lstStyle/>
        <a:p>
          <a:endParaRPr lang="pt-BR"/>
        </a:p>
      </dgm:t>
    </dgm:pt>
  </dgm:ptLst>
  <dgm:cxnLst>
    <dgm:cxn modelId="{DB55753A-3C41-457F-8AAE-B50D878E90DC}" type="presOf" srcId="{C15E2800-6292-4FDA-AE8A-7A8A22D93692}" destId="{F26AACED-D69E-4638-981F-B58B777C52E3}" srcOrd="0" destOrd="0" presId="urn:microsoft.com/office/officeart/2005/8/layout/vList4"/>
    <dgm:cxn modelId="{32D0CB44-B77B-4D10-B486-DFD25C6C6DD7}" srcId="{85DEE83C-7DF2-464C-B74D-9E1D5ABBB064}" destId="{C15E2800-6292-4FDA-AE8A-7A8A22D93692}" srcOrd="1" destOrd="0" parTransId="{F7F0B5B3-8F05-4D28-A1C8-05CD7DE5B509}" sibTransId="{D74BE0B4-D35F-4ED6-8EEE-AA611AC74E69}"/>
    <dgm:cxn modelId="{2796DA1C-E2C6-4CA9-A27D-4D4445B02C04}" type="presOf" srcId="{BC1FDC5A-49BE-445C-8828-3BC919C3DA5F}" destId="{09B9A9FC-981A-4C10-985A-0432DF619B2E}" srcOrd="0" destOrd="0" presId="urn:microsoft.com/office/officeart/2005/8/layout/vList4"/>
    <dgm:cxn modelId="{B213AA96-B814-4EC1-A283-3EE9ED5E02BC}" srcId="{85DEE83C-7DF2-464C-B74D-9E1D5ABBB064}" destId="{29B0961E-B064-4134-8D22-864E2C792393}" srcOrd="0" destOrd="0" parTransId="{F623F130-DEFB-4654-8350-284776835DCC}" sibTransId="{4C61FC25-4857-498F-BE44-1EFE77337256}"/>
    <dgm:cxn modelId="{7D0B5D4E-BC79-4531-8287-AEC9143DA6C0}" type="presOf" srcId="{85DEE83C-7DF2-464C-B74D-9E1D5ABBB064}" destId="{B9847BBD-A3D1-4DE7-831D-8D48A605B743}" srcOrd="0" destOrd="0" presId="urn:microsoft.com/office/officeart/2005/8/layout/vList4"/>
    <dgm:cxn modelId="{42BD8E46-89A5-4C42-BD3B-78883488C497}" type="presOf" srcId="{29B0961E-B064-4134-8D22-864E2C792393}" destId="{862F55A5-FD4B-4F37-9BA9-BB155F4A5E7A}" srcOrd="1" destOrd="0" presId="urn:microsoft.com/office/officeart/2005/8/layout/vList4"/>
    <dgm:cxn modelId="{2E83CD11-2B9C-4123-B410-E3847B5268AC}" type="presOf" srcId="{29B0961E-B064-4134-8D22-864E2C792393}" destId="{59B3C1A9-2863-4972-BF7B-F9D3EAF1604F}" srcOrd="0" destOrd="0" presId="urn:microsoft.com/office/officeart/2005/8/layout/vList4"/>
    <dgm:cxn modelId="{D55A0B0E-C463-41FC-A713-26556C27A198}" srcId="{85DEE83C-7DF2-464C-B74D-9E1D5ABBB064}" destId="{BC1FDC5A-49BE-445C-8828-3BC919C3DA5F}" srcOrd="2" destOrd="0" parTransId="{2358564C-4B2E-4788-8333-9C3D4EA144DC}" sibTransId="{48A4A572-A598-4595-B07E-F10202C45D34}"/>
    <dgm:cxn modelId="{E7362DC6-98C1-4F7C-94E1-0BC8619CDF95}" type="presOf" srcId="{BC1FDC5A-49BE-445C-8828-3BC919C3DA5F}" destId="{3F1946CD-06A1-487A-97B9-95232A1D4A0A}" srcOrd="1" destOrd="0" presId="urn:microsoft.com/office/officeart/2005/8/layout/vList4"/>
    <dgm:cxn modelId="{4AFC4919-8A67-41F8-B580-38875477E14F}" type="presOf" srcId="{C15E2800-6292-4FDA-AE8A-7A8A22D93692}" destId="{52D73706-1859-4873-908B-1ACC5ED83BD3}" srcOrd="1" destOrd="0" presId="urn:microsoft.com/office/officeart/2005/8/layout/vList4"/>
    <dgm:cxn modelId="{BC3E72C5-AE0C-42AF-9B7C-9BCA8707CC68}" type="presParOf" srcId="{B9847BBD-A3D1-4DE7-831D-8D48A605B743}" destId="{CAD77897-A877-447D-BEE9-14C79F523A94}" srcOrd="0" destOrd="0" presId="urn:microsoft.com/office/officeart/2005/8/layout/vList4"/>
    <dgm:cxn modelId="{BF57A6BC-4F8A-450F-81AF-352D61D430F5}" type="presParOf" srcId="{CAD77897-A877-447D-BEE9-14C79F523A94}" destId="{59B3C1A9-2863-4972-BF7B-F9D3EAF1604F}" srcOrd="0" destOrd="0" presId="urn:microsoft.com/office/officeart/2005/8/layout/vList4"/>
    <dgm:cxn modelId="{0DFE9D8E-2C91-488A-A9C7-2AD442E96265}" type="presParOf" srcId="{CAD77897-A877-447D-BEE9-14C79F523A94}" destId="{FA25CA79-2FD7-49DA-9937-37FEF3E5B909}" srcOrd="1" destOrd="0" presId="urn:microsoft.com/office/officeart/2005/8/layout/vList4"/>
    <dgm:cxn modelId="{F23852D3-88F8-493F-87F5-9C0B6F0CFA4F}" type="presParOf" srcId="{CAD77897-A877-447D-BEE9-14C79F523A94}" destId="{862F55A5-FD4B-4F37-9BA9-BB155F4A5E7A}" srcOrd="2" destOrd="0" presId="urn:microsoft.com/office/officeart/2005/8/layout/vList4"/>
    <dgm:cxn modelId="{D466836E-E490-4EAC-8C59-86F9E014EF0F}" type="presParOf" srcId="{B9847BBD-A3D1-4DE7-831D-8D48A605B743}" destId="{CC60236F-4714-41D9-B896-30D6A797E6E6}" srcOrd="1" destOrd="0" presId="urn:microsoft.com/office/officeart/2005/8/layout/vList4"/>
    <dgm:cxn modelId="{10044A0B-0A70-4E24-A17B-DFC917E73195}" type="presParOf" srcId="{B9847BBD-A3D1-4DE7-831D-8D48A605B743}" destId="{3C0C1D44-65BE-4A65-88DC-3B7E3CD1BB46}" srcOrd="2" destOrd="0" presId="urn:microsoft.com/office/officeart/2005/8/layout/vList4"/>
    <dgm:cxn modelId="{C7B772A4-B32E-4133-ADA0-0384B9DFC669}" type="presParOf" srcId="{3C0C1D44-65BE-4A65-88DC-3B7E3CD1BB46}" destId="{F26AACED-D69E-4638-981F-B58B777C52E3}" srcOrd="0" destOrd="0" presId="urn:microsoft.com/office/officeart/2005/8/layout/vList4"/>
    <dgm:cxn modelId="{0537FFF1-7DD6-4CA2-BD2D-37A23F41738B}" type="presParOf" srcId="{3C0C1D44-65BE-4A65-88DC-3B7E3CD1BB46}" destId="{C761BCE5-7DDD-463A-B218-3C5A739A78C1}" srcOrd="1" destOrd="0" presId="urn:microsoft.com/office/officeart/2005/8/layout/vList4"/>
    <dgm:cxn modelId="{C63BD30B-6D02-4638-A578-9F8FAC36722A}" type="presParOf" srcId="{3C0C1D44-65BE-4A65-88DC-3B7E3CD1BB46}" destId="{52D73706-1859-4873-908B-1ACC5ED83BD3}" srcOrd="2" destOrd="0" presId="urn:microsoft.com/office/officeart/2005/8/layout/vList4"/>
    <dgm:cxn modelId="{6DAC2C09-A1E7-4308-833A-2A236F2978DE}" type="presParOf" srcId="{B9847BBD-A3D1-4DE7-831D-8D48A605B743}" destId="{83DA6978-C47A-452E-AEFE-6AFA5A4F10B6}" srcOrd="3" destOrd="0" presId="urn:microsoft.com/office/officeart/2005/8/layout/vList4"/>
    <dgm:cxn modelId="{ED705F6E-CC32-4754-AAE4-BCC5F344ACDB}" type="presParOf" srcId="{B9847BBD-A3D1-4DE7-831D-8D48A605B743}" destId="{070CC9C9-8DB2-4B5F-8E5E-3813BB169C9C}" srcOrd="4" destOrd="0" presId="urn:microsoft.com/office/officeart/2005/8/layout/vList4"/>
    <dgm:cxn modelId="{C2C6FB24-EAE7-4741-9108-C31A3820132B}" type="presParOf" srcId="{070CC9C9-8DB2-4B5F-8E5E-3813BB169C9C}" destId="{09B9A9FC-981A-4C10-985A-0432DF619B2E}" srcOrd="0" destOrd="0" presId="urn:microsoft.com/office/officeart/2005/8/layout/vList4"/>
    <dgm:cxn modelId="{937154E2-CB2D-4403-B32E-F2315B7946A5}" type="presParOf" srcId="{070CC9C9-8DB2-4B5F-8E5E-3813BB169C9C}" destId="{75E74E14-FC30-4703-A1A8-8CAEFA0DD376}" srcOrd="1" destOrd="0" presId="urn:microsoft.com/office/officeart/2005/8/layout/vList4"/>
    <dgm:cxn modelId="{AEE48481-786D-4DE6-B901-614425C243C6}" type="presParOf" srcId="{070CC9C9-8DB2-4B5F-8E5E-3813BB169C9C}" destId="{3F1946CD-06A1-487A-97B9-95232A1D4A0A}" srcOrd="2" destOrd="0" presId="urn:microsoft.com/office/officeart/2005/8/layout/vList4"/>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8E664E-9E9D-40E1-9651-572D68CC1B19}">
      <dsp:nvSpPr>
        <dsp:cNvPr id="0" name=""/>
        <dsp:cNvSpPr/>
      </dsp:nvSpPr>
      <dsp:spPr>
        <a:xfrm>
          <a:off x="2293761" y="1177505"/>
          <a:ext cx="295027" cy="951462"/>
        </a:xfrm>
        <a:custGeom>
          <a:avLst/>
          <a:gdLst/>
          <a:ahLst/>
          <a:cxnLst/>
          <a:rect l="0" t="0" r="0" b="0"/>
          <a:pathLst>
            <a:path>
              <a:moveTo>
                <a:pt x="0" y="0"/>
              </a:moveTo>
              <a:lnTo>
                <a:pt x="147513" y="0"/>
              </a:lnTo>
              <a:lnTo>
                <a:pt x="147513" y="951462"/>
              </a:lnTo>
              <a:lnTo>
                <a:pt x="295027" y="951462"/>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470E292-FE73-4C69-907C-486C71CFD274}">
      <dsp:nvSpPr>
        <dsp:cNvPr id="0" name=""/>
        <dsp:cNvSpPr/>
      </dsp:nvSpPr>
      <dsp:spPr>
        <a:xfrm>
          <a:off x="2293761" y="1177505"/>
          <a:ext cx="295027" cy="317154"/>
        </a:xfrm>
        <a:custGeom>
          <a:avLst/>
          <a:gdLst/>
          <a:ahLst/>
          <a:cxnLst/>
          <a:rect l="0" t="0" r="0" b="0"/>
          <a:pathLst>
            <a:path>
              <a:moveTo>
                <a:pt x="0" y="0"/>
              </a:moveTo>
              <a:lnTo>
                <a:pt x="147513" y="0"/>
              </a:lnTo>
              <a:lnTo>
                <a:pt x="147513" y="317154"/>
              </a:lnTo>
              <a:lnTo>
                <a:pt x="295027" y="317154"/>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1874E5E-68DD-414D-9413-F7CEB4A2FB31}">
      <dsp:nvSpPr>
        <dsp:cNvPr id="0" name=""/>
        <dsp:cNvSpPr/>
      </dsp:nvSpPr>
      <dsp:spPr>
        <a:xfrm>
          <a:off x="2293761" y="860351"/>
          <a:ext cx="295027" cy="317154"/>
        </a:xfrm>
        <a:custGeom>
          <a:avLst/>
          <a:gdLst/>
          <a:ahLst/>
          <a:cxnLst/>
          <a:rect l="0" t="0" r="0" b="0"/>
          <a:pathLst>
            <a:path>
              <a:moveTo>
                <a:pt x="0" y="317154"/>
              </a:moveTo>
              <a:lnTo>
                <a:pt x="147513" y="317154"/>
              </a:lnTo>
              <a:lnTo>
                <a:pt x="147513" y="0"/>
              </a:lnTo>
              <a:lnTo>
                <a:pt x="295027"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CF5D125-675F-48D5-9EE9-0E6B9ACFC744}">
      <dsp:nvSpPr>
        <dsp:cNvPr id="0" name=""/>
        <dsp:cNvSpPr/>
      </dsp:nvSpPr>
      <dsp:spPr>
        <a:xfrm>
          <a:off x="2293761" y="226042"/>
          <a:ext cx="295027" cy="951462"/>
        </a:xfrm>
        <a:custGeom>
          <a:avLst/>
          <a:gdLst/>
          <a:ahLst/>
          <a:cxnLst/>
          <a:rect l="0" t="0" r="0" b="0"/>
          <a:pathLst>
            <a:path>
              <a:moveTo>
                <a:pt x="0" y="951462"/>
              </a:moveTo>
              <a:lnTo>
                <a:pt x="147513" y="951462"/>
              </a:lnTo>
              <a:lnTo>
                <a:pt x="147513" y="0"/>
              </a:lnTo>
              <a:lnTo>
                <a:pt x="295027"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53B73D2-4BCF-470E-BBAD-B5263766738B}">
      <dsp:nvSpPr>
        <dsp:cNvPr id="0" name=""/>
        <dsp:cNvSpPr/>
      </dsp:nvSpPr>
      <dsp:spPr>
        <a:xfrm>
          <a:off x="818625" y="952547"/>
          <a:ext cx="1475135" cy="449916"/>
        </a:xfrm>
        <a:prstGeom prst="rect">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pt-BR" sz="1500" kern="1200">
              <a:latin typeface="Evolventa" panose="020B0502020202020204" pitchFamily="34" charset="0"/>
            </a:rPr>
            <a:t>Classificação Orçamentária</a:t>
          </a:r>
        </a:p>
      </dsp:txBody>
      <dsp:txXfrm>
        <a:off x="818625" y="952547"/>
        <a:ext cx="1475135" cy="449916"/>
      </dsp:txXfrm>
    </dsp:sp>
    <dsp:sp modelId="{A951FED6-D3BC-4AC3-95AA-3AF37C4CF38C}">
      <dsp:nvSpPr>
        <dsp:cNvPr id="0" name=""/>
        <dsp:cNvSpPr/>
      </dsp:nvSpPr>
      <dsp:spPr>
        <a:xfrm>
          <a:off x="2588789" y="1084"/>
          <a:ext cx="1475135" cy="449916"/>
        </a:xfrm>
        <a:prstGeom prst="rect">
          <a:avLst/>
        </a:prstGeom>
        <a:solidFill>
          <a:srgbClr val="6FB8B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pt-BR" sz="1500" kern="1200">
              <a:latin typeface="Evolventa" panose="020B0502020202020204" pitchFamily="34" charset="0"/>
            </a:rPr>
            <a:t>Institucional</a:t>
          </a:r>
        </a:p>
      </dsp:txBody>
      <dsp:txXfrm>
        <a:off x="2588789" y="1084"/>
        <a:ext cx="1475135" cy="449916"/>
      </dsp:txXfrm>
    </dsp:sp>
    <dsp:sp modelId="{099C29BF-59F8-4D2F-B6CB-14A48AE48135}">
      <dsp:nvSpPr>
        <dsp:cNvPr id="0" name=""/>
        <dsp:cNvSpPr/>
      </dsp:nvSpPr>
      <dsp:spPr>
        <a:xfrm>
          <a:off x="2588789" y="635393"/>
          <a:ext cx="1475135" cy="449916"/>
        </a:xfrm>
        <a:prstGeom prst="rect">
          <a:avLst/>
        </a:prstGeom>
        <a:solidFill>
          <a:srgbClr val="6FB8B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pt-BR" sz="1500" kern="1200">
              <a:latin typeface="Evolventa" panose="020B0502020202020204" pitchFamily="34" charset="0"/>
            </a:rPr>
            <a:t>Funcional</a:t>
          </a:r>
        </a:p>
      </dsp:txBody>
      <dsp:txXfrm>
        <a:off x="2588789" y="635393"/>
        <a:ext cx="1475135" cy="449916"/>
      </dsp:txXfrm>
    </dsp:sp>
    <dsp:sp modelId="{A1354CC5-3415-445C-9D60-465DD4276BAE}">
      <dsp:nvSpPr>
        <dsp:cNvPr id="0" name=""/>
        <dsp:cNvSpPr/>
      </dsp:nvSpPr>
      <dsp:spPr>
        <a:xfrm>
          <a:off x="2588789" y="1269701"/>
          <a:ext cx="1475135" cy="449916"/>
        </a:xfrm>
        <a:prstGeom prst="rect">
          <a:avLst/>
        </a:prstGeom>
        <a:solidFill>
          <a:srgbClr val="6FB8B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pt-BR" sz="1500" kern="1200">
              <a:latin typeface="Evolventa" panose="020B0502020202020204" pitchFamily="34" charset="0"/>
            </a:rPr>
            <a:t>Estrutura Programática</a:t>
          </a:r>
        </a:p>
      </dsp:txBody>
      <dsp:txXfrm>
        <a:off x="2588789" y="1269701"/>
        <a:ext cx="1475135" cy="449916"/>
      </dsp:txXfrm>
    </dsp:sp>
    <dsp:sp modelId="{9D229011-DE37-4E85-AD5D-DEF2B6F87E2A}">
      <dsp:nvSpPr>
        <dsp:cNvPr id="0" name=""/>
        <dsp:cNvSpPr/>
      </dsp:nvSpPr>
      <dsp:spPr>
        <a:xfrm>
          <a:off x="2588789" y="1904009"/>
          <a:ext cx="1475135" cy="449916"/>
        </a:xfrm>
        <a:prstGeom prst="rect">
          <a:avLst/>
        </a:prstGeom>
        <a:solidFill>
          <a:srgbClr val="6FB8B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pt-BR" sz="1500" kern="1200">
              <a:latin typeface="Evolventa" panose="020B0502020202020204" pitchFamily="34" charset="0"/>
            </a:rPr>
            <a:t>Natureza de Despesa</a:t>
          </a:r>
        </a:p>
      </dsp:txBody>
      <dsp:txXfrm>
        <a:off x="2588789" y="1904009"/>
        <a:ext cx="1475135" cy="44991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B3C1A9-2863-4972-BF7B-F9D3EAF1604F}">
      <dsp:nvSpPr>
        <dsp:cNvPr id="0" name=""/>
        <dsp:cNvSpPr/>
      </dsp:nvSpPr>
      <dsp:spPr>
        <a:xfrm>
          <a:off x="0" y="0"/>
          <a:ext cx="3976777" cy="682025"/>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pt-BR" sz="1600" kern="1200"/>
            <a:t>3.1 - Pessoal e Encargos Sociais</a:t>
          </a:r>
        </a:p>
      </dsp:txBody>
      <dsp:txXfrm>
        <a:off x="863557" y="0"/>
        <a:ext cx="3113219" cy="682025"/>
      </dsp:txXfrm>
    </dsp:sp>
    <dsp:sp modelId="{FA25CA79-2FD7-49DA-9937-37FEF3E5B909}">
      <dsp:nvSpPr>
        <dsp:cNvPr id="0" name=""/>
        <dsp:cNvSpPr/>
      </dsp:nvSpPr>
      <dsp:spPr>
        <a:xfrm>
          <a:off x="68202" y="68202"/>
          <a:ext cx="795355" cy="545620"/>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94000" r="-9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26AACED-D69E-4638-981F-B58B777C52E3}">
      <dsp:nvSpPr>
        <dsp:cNvPr id="0" name=""/>
        <dsp:cNvSpPr/>
      </dsp:nvSpPr>
      <dsp:spPr>
        <a:xfrm>
          <a:off x="0" y="750228"/>
          <a:ext cx="3976777" cy="682025"/>
        </a:xfrm>
        <a:prstGeom prst="roundRect">
          <a:avLst>
            <a:gd name="adj" fmla="val 10000"/>
          </a:avLst>
        </a:prstGeom>
        <a:solidFill>
          <a:schemeClr val="accent2">
            <a:hueOff val="-419062"/>
            <a:satOff val="-4829"/>
            <a:lumOff val="107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pt-BR" sz="1600" kern="1200"/>
            <a:t>3.3 Outras Despesas Corrente</a:t>
          </a:r>
        </a:p>
      </dsp:txBody>
      <dsp:txXfrm>
        <a:off x="863557" y="750228"/>
        <a:ext cx="3113219" cy="682025"/>
      </dsp:txXfrm>
    </dsp:sp>
    <dsp:sp modelId="{C761BCE5-7DDD-463A-B218-3C5A739A78C1}">
      <dsp:nvSpPr>
        <dsp:cNvPr id="0" name=""/>
        <dsp:cNvSpPr/>
      </dsp:nvSpPr>
      <dsp:spPr>
        <a:xfrm>
          <a:off x="68202" y="818431"/>
          <a:ext cx="795355" cy="545620"/>
        </a:xfrm>
        <a:prstGeom prst="roundRect">
          <a:avLst>
            <a:gd name="adj" fmla="val 1000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95000" r="-9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9B9A9FC-981A-4C10-985A-0432DF619B2E}">
      <dsp:nvSpPr>
        <dsp:cNvPr id="0" name=""/>
        <dsp:cNvSpPr/>
      </dsp:nvSpPr>
      <dsp:spPr>
        <a:xfrm>
          <a:off x="0" y="1500457"/>
          <a:ext cx="3976777" cy="682025"/>
        </a:xfrm>
        <a:prstGeom prst="roundRect">
          <a:avLst>
            <a:gd name="adj" fmla="val 10000"/>
          </a:avLst>
        </a:prstGeom>
        <a:solidFill>
          <a:schemeClr val="accent2">
            <a:hueOff val="-838123"/>
            <a:satOff val="-9658"/>
            <a:lumOff val="215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pt-BR" sz="1600" kern="1200"/>
            <a:t>4.4 Investimentos</a:t>
          </a:r>
        </a:p>
        <a:p>
          <a:pPr lvl="0" algn="l" defTabSz="711200">
            <a:lnSpc>
              <a:spcPct val="90000"/>
            </a:lnSpc>
            <a:spcBef>
              <a:spcPct val="0"/>
            </a:spcBef>
            <a:spcAft>
              <a:spcPct val="35000"/>
            </a:spcAft>
          </a:pPr>
          <a:r>
            <a:rPr lang="pt-BR" sz="1600" kern="1200"/>
            <a:t>4.5 Inversões Financeiras</a:t>
          </a:r>
        </a:p>
      </dsp:txBody>
      <dsp:txXfrm>
        <a:off x="863557" y="1500457"/>
        <a:ext cx="3113219" cy="682025"/>
      </dsp:txXfrm>
    </dsp:sp>
    <dsp:sp modelId="{75E74E14-FC30-4703-A1A8-8CAEFA0DD376}">
      <dsp:nvSpPr>
        <dsp:cNvPr id="0" name=""/>
        <dsp:cNvSpPr/>
      </dsp:nvSpPr>
      <dsp:spPr>
        <a:xfrm>
          <a:off x="68202" y="1568659"/>
          <a:ext cx="795355" cy="545620"/>
        </a:xfrm>
        <a:prstGeom prst="roundRect">
          <a:avLst>
            <a:gd name="adj" fmla="val 1000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97000" r="-9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Azul">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633340-751F-4177-B21B-B4C4C815F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23</Pages>
  <Words>4478</Words>
  <Characters>24185</Characters>
  <Application>Microsoft Office Word</Application>
  <DocSecurity>0</DocSecurity>
  <Lines>201</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Juliana  Cruz</dc:creator>
  <cp:keywords/>
  <dc:description/>
  <cp:lastModifiedBy>Rosi-Mari Ramos de Oliveira</cp:lastModifiedBy>
  <cp:revision>9</cp:revision>
  <cp:lastPrinted>2023-05-04T18:47:00Z</cp:lastPrinted>
  <dcterms:created xsi:type="dcterms:W3CDTF">2023-05-11T21:36:00Z</dcterms:created>
  <dcterms:modified xsi:type="dcterms:W3CDTF">2023-05-15T21:02:00Z</dcterms:modified>
</cp:coreProperties>
</file>