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94" w:rsidRDefault="002E5894" w:rsidP="002E5894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2E5894" w:rsidRDefault="002E5894" w:rsidP="002E5894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2E5894" w:rsidRDefault="002E5894" w:rsidP="002E5894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2E5894" w:rsidRDefault="002E5894" w:rsidP="002E5894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2E5894" w:rsidRDefault="002E5894" w:rsidP="002E5894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2E5894" w:rsidRDefault="002E5894" w:rsidP="002E5894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2E5894" w:rsidRPr="001E2C54" w:rsidRDefault="002E5894" w:rsidP="002E5894">
      <w:pPr>
        <w:spacing w:before="120" w:after="12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1E2C54">
        <w:rPr>
          <w:rFonts w:ascii="Arial" w:hAnsi="Arial" w:cs="Arial"/>
          <w:b/>
          <w:sz w:val="52"/>
          <w:szCs w:val="52"/>
        </w:rPr>
        <w:t>ANEXO XVI</w:t>
      </w:r>
      <w:r>
        <w:rPr>
          <w:rFonts w:ascii="Arial" w:hAnsi="Arial" w:cs="Arial"/>
          <w:b/>
          <w:sz w:val="52"/>
          <w:szCs w:val="52"/>
        </w:rPr>
        <w:t>I</w:t>
      </w:r>
    </w:p>
    <w:p w:rsidR="002E5894" w:rsidRPr="00E3522E" w:rsidRDefault="002E5894" w:rsidP="002E5894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3522E">
        <w:rPr>
          <w:rFonts w:ascii="Arial" w:hAnsi="Arial" w:cs="Arial"/>
          <w:b/>
          <w:sz w:val="40"/>
          <w:szCs w:val="40"/>
        </w:rPr>
        <w:t xml:space="preserve">REGIMENTO INTERNO DO COMITÊ DE ELEGIBILIDADE </w:t>
      </w:r>
    </w:p>
    <w:p w:rsidR="002E5894" w:rsidRDefault="002E5894" w:rsidP="002E5894">
      <w:pPr>
        <w:spacing w:before="120" w:after="120" w:line="360" w:lineRule="auto"/>
        <w:rPr>
          <w:rFonts w:ascii="Arial" w:hAnsi="Arial" w:cs="Arial"/>
          <w:u w:val="single"/>
        </w:rPr>
        <w:sectPr w:rsidR="002E5894" w:rsidSect="00BD6804">
          <w:headerReference w:type="default" r:id="rId6"/>
          <w:headerReference w:type="first" r:id="rId7"/>
          <w:pgSz w:w="11907" w:h="16839" w:code="9"/>
          <w:pgMar w:top="1298" w:right="1134" w:bottom="1191" w:left="1418" w:header="720" w:footer="454" w:gutter="0"/>
          <w:cols w:space="708"/>
          <w:docGrid w:linePitch="360"/>
        </w:sectPr>
      </w:pPr>
    </w:p>
    <w:p w:rsidR="002E5894" w:rsidRPr="00E3522E" w:rsidRDefault="002E5894" w:rsidP="002E5894">
      <w:pPr>
        <w:spacing w:before="120" w:after="120" w:line="360" w:lineRule="auto"/>
        <w:rPr>
          <w:rFonts w:ascii="Arial" w:hAnsi="Arial" w:cs="Arial"/>
          <w:u w:val="single"/>
        </w:rPr>
      </w:pPr>
    </w:p>
    <w:p w:rsidR="002E5894" w:rsidRPr="00E3522E" w:rsidRDefault="002E5894" w:rsidP="002E589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E3522E">
        <w:rPr>
          <w:rFonts w:ascii="Arial" w:hAnsi="Arial" w:cs="Arial"/>
          <w:b/>
        </w:rPr>
        <w:t>SUMÁRIO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15570790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5894" w:rsidRPr="00E3522E" w:rsidRDefault="002E5894" w:rsidP="002E5894">
          <w:pPr>
            <w:pStyle w:val="CabealhodoSumrio"/>
            <w:spacing w:before="120" w:after="120" w:line="360" w:lineRule="auto"/>
            <w:rPr>
              <w:rFonts w:ascii="Arial" w:hAnsi="Arial" w:cs="Arial"/>
              <w:b/>
              <w:color w:val="auto"/>
              <w:sz w:val="24"/>
              <w:szCs w:val="24"/>
            </w:rPr>
          </w:pPr>
        </w:p>
        <w:p w:rsidR="002E5894" w:rsidRPr="00E3522E" w:rsidRDefault="002E5894" w:rsidP="002E5894">
          <w:pPr>
            <w:pStyle w:val="Sumrio1"/>
            <w:tabs>
              <w:tab w:val="right" w:leader="dot" w:pos="9345"/>
            </w:tabs>
            <w:spacing w:before="120" w:after="120" w:line="360" w:lineRule="auto"/>
            <w:rPr>
              <w:rFonts w:ascii="Arial" w:eastAsiaTheme="minorEastAsia" w:hAnsi="Arial" w:cs="Arial"/>
              <w:noProof/>
            </w:rPr>
          </w:pPr>
          <w:r w:rsidRPr="00E3522E">
            <w:rPr>
              <w:rFonts w:ascii="Arial" w:hAnsi="Arial" w:cs="Arial"/>
            </w:rPr>
            <w:fldChar w:fldCharType="begin"/>
          </w:r>
          <w:r w:rsidRPr="00E3522E">
            <w:rPr>
              <w:rFonts w:ascii="Arial" w:hAnsi="Arial" w:cs="Arial"/>
            </w:rPr>
            <w:instrText xml:space="preserve"> TOC \o "1-3" \h \z \u </w:instrText>
          </w:r>
          <w:r w:rsidRPr="00E3522E">
            <w:rPr>
              <w:rFonts w:ascii="Arial" w:hAnsi="Arial" w:cs="Arial"/>
            </w:rPr>
            <w:fldChar w:fldCharType="separate"/>
          </w:r>
          <w:hyperlink w:anchor="_Toc490390596" w:history="1">
            <w:r w:rsidRPr="00C03618">
              <w:rPr>
                <w:rStyle w:val="Hyperlink"/>
                <w:rFonts w:ascii="Arial" w:eastAsiaTheme="minorHAnsi" w:hAnsi="Arial" w:cs="Arial"/>
                <w:b/>
                <w:noProof/>
                <w:lang w:eastAsia="en-US"/>
              </w:rPr>
              <w:t>CAPÍTULO I</w:t>
            </w:r>
            <w:r w:rsidRPr="00E3522E">
              <w:rPr>
                <w:rFonts w:ascii="Arial" w:hAnsi="Arial" w:cs="Arial"/>
                <w:noProof/>
                <w:webHidden/>
              </w:rPr>
              <w:tab/>
            </w:r>
          </w:hyperlink>
          <w:r>
            <w:rPr>
              <w:rFonts w:ascii="Arial" w:hAnsi="Arial" w:cs="Arial"/>
              <w:noProof/>
            </w:rPr>
            <w:t>3</w:t>
          </w:r>
        </w:p>
        <w:p w:rsidR="002E5894" w:rsidRPr="00E3522E" w:rsidRDefault="002E5894" w:rsidP="002E5894">
          <w:pPr>
            <w:pStyle w:val="Sumrio1"/>
            <w:tabs>
              <w:tab w:val="right" w:leader="dot" w:pos="9345"/>
            </w:tabs>
            <w:spacing w:before="120" w:after="120" w:line="360" w:lineRule="auto"/>
            <w:rPr>
              <w:rFonts w:ascii="Arial" w:eastAsiaTheme="minorEastAsia" w:hAnsi="Arial" w:cs="Arial"/>
              <w:noProof/>
            </w:rPr>
          </w:pPr>
          <w:hyperlink w:anchor="_Toc490390597" w:history="1">
            <w:r w:rsidRPr="00C03618">
              <w:rPr>
                <w:rStyle w:val="Hyperlink"/>
                <w:rFonts w:ascii="Arial" w:eastAsiaTheme="minorHAnsi" w:hAnsi="Arial" w:cs="Arial"/>
                <w:b/>
                <w:noProof/>
                <w:lang w:eastAsia="en-US"/>
              </w:rPr>
              <w:t>DO OBJETO</w:t>
            </w:r>
            <w:r w:rsidRPr="00E3522E">
              <w:rPr>
                <w:rFonts w:ascii="Arial" w:hAnsi="Arial" w:cs="Arial"/>
                <w:noProof/>
                <w:webHidden/>
              </w:rPr>
              <w:tab/>
            </w:r>
            <w:r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:rsidR="002E5894" w:rsidRPr="00E3522E" w:rsidRDefault="002E5894" w:rsidP="002E5894">
          <w:pPr>
            <w:pStyle w:val="Sumrio1"/>
            <w:tabs>
              <w:tab w:val="right" w:leader="dot" w:pos="9345"/>
            </w:tabs>
            <w:spacing w:before="120" w:after="120" w:line="360" w:lineRule="auto"/>
            <w:rPr>
              <w:rFonts w:ascii="Arial" w:eastAsiaTheme="minorEastAsia" w:hAnsi="Arial" w:cs="Arial"/>
              <w:noProof/>
            </w:rPr>
          </w:pPr>
          <w:hyperlink w:anchor="_Toc490390598" w:history="1">
            <w:r w:rsidRPr="00C03618">
              <w:rPr>
                <w:rStyle w:val="Hyperlink"/>
                <w:rFonts w:ascii="Arial" w:hAnsi="Arial" w:cs="Arial"/>
                <w:b/>
                <w:noProof/>
              </w:rPr>
              <w:t>CAPÍTULO II</w:t>
            </w:r>
            <w:r w:rsidRPr="00E3522E">
              <w:rPr>
                <w:rFonts w:ascii="Arial" w:hAnsi="Arial" w:cs="Arial"/>
                <w:noProof/>
                <w:webHidden/>
              </w:rPr>
              <w:tab/>
            </w:r>
            <w:r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:rsidR="002E5894" w:rsidRPr="00E3522E" w:rsidRDefault="002E5894" w:rsidP="002E5894">
          <w:pPr>
            <w:pStyle w:val="Sumrio1"/>
            <w:tabs>
              <w:tab w:val="right" w:leader="dot" w:pos="9345"/>
            </w:tabs>
            <w:spacing w:before="120" w:after="120" w:line="360" w:lineRule="auto"/>
            <w:rPr>
              <w:rFonts w:ascii="Arial" w:eastAsiaTheme="minorEastAsia" w:hAnsi="Arial" w:cs="Arial"/>
              <w:noProof/>
            </w:rPr>
          </w:pPr>
          <w:hyperlink w:anchor="_Toc490390599" w:history="1">
            <w:r w:rsidRPr="00C03618">
              <w:rPr>
                <w:rStyle w:val="Hyperlink"/>
                <w:rFonts w:ascii="Arial" w:hAnsi="Arial" w:cs="Arial"/>
                <w:b/>
                <w:noProof/>
              </w:rPr>
              <w:t>DO CONCEITO E COMPOSIÇÃO DO COMITÊ DE ELEGIBILIDADE</w:t>
            </w:r>
            <w:r w:rsidRPr="00E3522E">
              <w:rPr>
                <w:rFonts w:ascii="Arial" w:hAnsi="Arial" w:cs="Arial"/>
                <w:noProof/>
                <w:webHidden/>
              </w:rPr>
              <w:tab/>
            </w:r>
            <w:r>
              <w:rPr>
                <w:rFonts w:ascii="Arial" w:hAnsi="Arial" w:cs="Arial"/>
                <w:noProof/>
                <w:webHidden/>
              </w:rPr>
              <w:t>3</w:t>
            </w:r>
          </w:hyperlink>
        </w:p>
        <w:p w:rsidR="002E5894" w:rsidRPr="00E3522E" w:rsidRDefault="002E5894" w:rsidP="002E5894">
          <w:pPr>
            <w:pStyle w:val="Sumrio1"/>
            <w:tabs>
              <w:tab w:val="right" w:leader="dot" w:pos="9345"/>
            </w:tabs>
            <w:spacing w:before="120" w:after="120" w:line="360" w:lineRule="auto"/>
            <w:rPr>
              <w:rFonts w:ascii="Arial" w:eastAsiaTheme="minorEastAsia" w:hAnsi="Arial" w:cs="Arial"/>
              <w:noProof/>
            </w:rPr>
          </w:pPr>
          <w:hyperlink w:anchor="_Toc490390600" w:history="1">
            <w:r w:rsidRPr="00C03618">
              <w:rPr>
                <w:rStyle w:val="Hyperlink"/>
                <w:rFonts w:ascii="Arial" w:hAnsi="Arial" w:cs="Arial"/>
                <w:b/>
                <w:noProof/>
              </w:rPr>
              <w:t>CAPÍTULO III</w:t>
            </w:r>
            <w:r w:rsidRPr="00E3522E">
              <w:rPr>
                <w:rFonts w:ascii="Arial" w:hAnsi="Arial" w:cs="Arial"/>
                <w:noProof/>
                <w:webHidden/>
              </w:rPr>
              <w:tab/>
            </w:r>
            <w:r>
              <w:rPr>
                <w:rFonts w:ascii="Arial" w:hAnsi="Arial" w:cs="Arial"/>
                <w:noProof/>
                <w:webHidden/>
              </w:rPr>
              <w:t>4</w:t>
            </w:r>
          </w:hyperlink>
        </w:p>
        <w:p w:rsidR="002E5894" w:rsidRPr="00E3522E" w:rsidRDefault="002E5894" w:rsidP="002E5894">
          <w:pPr>
            <w:pStyle w:val="Sumrio1"/>
            <w:tabs>
              <w:tab w:val="right" w:leader="dot" w:pos="9345"/>
            </w:tabs>
            <w:spacing w:before="120" w:after="120" w:line="360" w:lineRule="auto"/>
            <w:rPr>
              <w:rFonts w:ascii="Arial" w:eastAsiaTheme="minorEastAsia" w:hAnsi="Arial" w:cs="Arial"/>
              <w:noProof/>
            </w:rPr>
          </w:pPr>
          <w:hyperlink w:anchor="_Toc490390601" w:history="1">
            <w:r w:rsidRPr="00C03618">
              <w:rPr>
                <w:rStyle w:val="Hyperlink"/>
                <w:rFonts w:ascii="Arial" w:hAnsi="Arial" w:cs="Arial"/>
                <w:b/>
                <w:noProof/>
              </w:rPr>
              <w:t>DAS ATRIBUIÇÕES E COMPETÊNCIAS DO COMITÊ DE ELEGIBILIDADE</w:t>
            </w:r>
            <w:r w:rsidRPr="00E3522E">
              <w:rPr>
                <w:rFonts w:ascii="Arial" w:hAnsi="Arial" w:cs="Arial"/>
                <w:noProof/>
                <w:webHidden/>
              </w:rPr>
              <w:tab/>
            </w:r>
            <w:r>
              <w:rPr>
                <w:rFonts w:ascii="Arial" w:hAnsi="Arial" w:cs="Arial"/>
                <w:noProof/>
                <w:webHidden/>
              </w:rPr>
              <w:t>4</w:t>
            </w:r>
          </w:hyperlink>
        </w:p>
        <w:p w:rsidR="002E5894" w:rsidRPr="00E3522E" w:rsidRDefault="002E5894" w:rsidP="002E5894">
          <w:pPr>
            <w:pStyle w:val="Sumrio1"/>
            <w:tabs>
              <w:tab w:val="right" w:leader="dot" w:pos="9345"/>
            </w:tabs>
            <w:spacing w:before="120" w:after="120" w:line="360" w:lineRule="auto"/>
            <w:rPr>
              <w:rFonts w:ascii="Arial" w:eastAsiaTheme="minorEastAsia" w:hAnsi="Arial" w:cs="Arial"/>
              <w:noProof/>
            </w:rPr>
          </w:pPr>
          <w:hyperlink w:anchor="_Toc490390602" w:history="1">
            <w:r w:rsidRPr="00C03618">
              <w:rPr>
                <w:rStyle w:val="Hyperlink"/>
                <w:rFonts w:ascii="Arial" w:hAnsi="Arial" w:cs="Arial"/>
                <w:b/>
                <w:noProof/>
              </w:rPr>
              <w:t>CAPÍTULO IV</w:t>
            </w:r>
            <w:r w:rsidRPr="00E3522E">
              <w:rPr>
                <w:rFonts w:ascii="Arial" w:hAnsi="Arial" w:cs="Arial"/>
                <w:noProof/>
                <w:webHidden/>
              </w:rPr>
              <w:tab/>
            </w:r>
          </w:hyperlink>
          <w:r>
            <w:rPr>
              <w:rFonts w:ascii="Arial" w:hAnsi="Arial" w:cs="Arial"/>
              <w:noProof/>
            </w:rPr>
            <w:t>5</w:t>
          </w:r>
        </w:p>
        <w:p w:rsidR="002E5894" w:rsidRPr="00E3522E" w:rsidRDefault="002E5894" w:rsidP="002E5894">
          <w:pPr>
            <w:pStyle w:val="Sumrio1"/>
            <w:tabs>
              <w:tab w:val="right" w:leader="dot" w:pos="9345"/>
            </w:tabs>
            <w:spacing w:before="120" w:after="120" w:line="360" w:lineRule="auto"/>
            <w:rPr>
              <w:rFonts w:ascii="Arial" w:eastAsiaTheme="minorEastAsia" w:hAnsi="Arial" w:cs="Arial"/>
              <w:noProof/>
            </w:rPr>
          </w:pPr>
          <w:hyperlink w:anchor="_Toc490390603" w:history="1">
            <w:r w:rsidRPr="00C03618">
              <w:rPr>
                <w:rStyle w:val="Hyperlink"/>
                <w:rFonts w:ascii="Arial" w:hAnsi="Arial" w:cs="Arial"/>
                <w:b/>
                <w:noProof/>
              </w:rPr>
              <w:t>DAS DELIBERAÇÕES DO COMITÊ DE ELEGIBILIDADE</w:t>
            </w:r>
            <w:r w:rsidRPr="00E3522E">
              <w:rPr>
                <w:rFonts w:ascii="Arial" w:hAnsi="Arial" w:cs="Arial"/>
                <w:noProof/>
                <w:webHidden/>
              </w:rPr>
              <w:tab/>
            </w:r>
          </w:hyperlink>
          <w:r>
            <w:rPr>
              <w:rFonts w:ascii="Arial" w:hAnsi="Arial" w:cs="Arial"/>
              <w:noProof/>
            </w:rPr>
            <w:t>5</w:t>
          </w:r>
        </w:p>
        <w:p w:rsidR="002E5894" w:rsidRPr="00E3522E" w:rsidRDefault="002E5894" w:rsidP="002E5894">
          <w:pPr>
            <w:pStyle w:val="Sumrio1"/>
            <w:tabs>
              <w:tab w:val="right" w:leader="dot" w:pos="9345"/>
            </w:tabs>
            <w:spacing w:before="120" w:after="120" w:line="360" w:lineRule="auto"/>
            <w:rPr>
              <w:rFonts w:ascii="Arial" w:eastAsiaTheme="minorEastAsia" w:hAnsi="Arial" w:cs="Arial"/>
              <w:noProof/>
            </w:rPr>
          </w:pPr>
          <w:hyperlink w:anchor="_Toc490390604" w:history="1">
            <w:r w:rsidRPr="00C03618">
              <w:rPr>
                <w:rStyle w:val="Hyperlink"/>
                <w:rFonts w:ascii="Arial" w:hAnsi="Arial" w:cs="Arial"/>
                <w:b/>
                <w:noProof/>
              </w:rPr>
              <w:t>CAPÍTULO V</w:t>
            </w:r>
            <w:r w:rsidRPr="00E3522E">
              <w:rPr>
                <w:rFonts w:ascii="Arial" w:hAnsi="Arial" w:cs="Arial"/>
                <w:noProof/>
                <w:webHidden/>
              </w:rPr>
              <w:tab/>
            </w:r>
            <w:r>
              <w:rPr>
                <w:rFonts w:ascii="Arial" w:hAnsi="Arial" w:cs="Arial"/>
                <w:noProof/>
                <w:webHidden/>
              </w:rPr>
              <w:t>6</w:t>
            </w:r>
          </w:hyperlink>
        </w:p>
        <w:p w:rsidR="002E5894" w:rsidRPr="00E3522E" w:rsidRDefault="002E5894" w:rsidP="002E5894">
          <w:pPr>
            <w:pStyle w:val="Sumrio1"/>
            <w:tabs>
              <w:tab w:val="right" w:leader="dot" w:pos="9345"/>
            </w:tabs>
            <w:spacing w:before="120" w:after="120" w:line="360" w:lineRule="auto"/>
            <w:rPr>
              <w:rFonts w:ascii="Arial" w:eastAsiaTheme="minorEastAsia" w:hAnsi="Arial" w:cs="Arial"/>
              <w:noProof/>
            </w:rPr>
          </w:pPr>
          <w:hyperlink w:anchor="_Toc490390605" w:history="1">
            <w:r w:rsidRPr="00C03618">
              <w:rPr>
                <w:rStyle w:val="Hyperlink"/>
                <w:rFonts w:ascii="Arial" w:hAnsi="Arial" w:cs="Arial"/>
                <w:b/>
                <w:noProof/>
              </w:rPr>
              <w:t>DAS RESPONSABILIDADES E DEVERES</w:t>
            </w:r>
            <w:r w:rsidRPr="00E3522E">
              <w:rPr>
                <w:rFonts w:ascii="Arial" w:hAnsi="Arial" w:cs="Arial"/>
                <w:noProof/>
                <w:webHidden/>
              </w:rPr>
              <w:tab/>
            </w:r>
            <w:r>
              <w:rPr>
                <w:rFonts w:ascii="Arial" w:hAnsi="Arial" w:cs="Arial"/>
                <w:noProof/>
                <w:webHidden/>
              </w:rPr>
              <w:t>6</w:t>
            </w:r>
          </w:hyperlink>
        </w:p>
        <w:p w:rsidR="002E5894" w:rsidRPr="00E3522E" w:rsidRDefault="002E5894" w:rsidP="002E5894">
          <w:pPr>
            <w:pStyle w:val="Sumrio1"/>
            <w:tabs>
              <w:tab w:val="right" w:leader="dot" w:pos="9345"/>
            </w:tabs>
            <w:spacing w:before="120" w:after="120" w:line="360" w:lineRule="auto"/>
            <w:rPr>
              <w:rFonts w:ascii="Arial" w:eastAsiaTheme="minorEastAsia" w:hAnsi="Arial" w:cs="Arial"/>
              <w:noProof/>
            </w:rPr>
          </w:pPr>
          <w:hyperlink w:anchor="_Toc490390606" w:history="1">
            <w:r w:rsidRPr="00C03618">
              <w:rPr>
                <w:rStyle w:val="Hyperlink"/>
                <w:rFonts w:ascii="Arial" w:hAnsi="Arial" w:cs="Arial"/>
                <w:b/>
                <w:noProof/>
              </w:rPr>
              <w:t>CAPÍTULO VI</w:t>
            </w:r>
            <w:r w:rsidRPr="00E3522E">
              <w:rPr>
                <w:rFonts w:ascii="Arial" w:hAnsi="Arial" w:cs="Arial"/>
                <w:noProof/>
                <w:webHidden/>
              </w:rPr>
              <w:tab/>
            </w:r>
          </w:hyperlink>
          <w:r>
            <w:rPr>
              <w:rFonts w:ascii="Arial" w:hAnsi="Arial" w:cs="Arial"/>
              <w:noProof/>
            </w:rPr>
            <w:t>6</w:t>
          </w:r>
        </w:p>
        <w:p w:rsidR="002E5894" w:rsidRPr="00E3522E" w:rsidRDefault="002E5894" w:rsidP="002E5894">
          <w:pPr>
            <w:pStyle w:val="Sumrio1"/>
            <w:tabs>
              <w:tab w:val="right" w:leader="dot" w:pos="9345"/>
            </w:tabs>
            <w:spacing w:before="120" w:after="120" w:line="360" w:lineRule="auto"/>
            <w:rPr>
              <w:rFonts w:ascii="Arial" w:eastAsiaTheme="minorEastAsia" w:hAnsi="Arial" w:cs="Arial"/>
              <w:noProof/>
            </w:rPr>
          </w:pPr>
          <w:hyperlink w:anchor="_Toc490390607" w:history="1">
            <w:r w:rsidRPr="00C03618">
              <w:rPr>
                <w:rStyle w:val="Hyperlink"/>
                <w:rFonts w:ascii="Arial" w:hAnsi="Arial" w:cs="Arial"/>
                <w:b/>
                <w:noProof/>
              </w:rPr>
              <w:t>CONSIDERAÇÕES FINAIS</w:t>
            </w:r>
            <w:r w:rsidRPr="00E3522E">
              <w:rPr>
                <w:rFonts w:ascii="Arial" w:hAnsi="Arial" w:cs="Arial"/>
                <w:noProof/>
                <w:webHidden/>
              </w:rPr>
              <w:tab/>
            </w:r>
          </w:hyperlink>
          <w:r>
            <w:rPr>
              <w:rFonts w:ascii="Arial" w:hAnsi="Arial" w:cs="Arial"/>
              <w:noProof/>
            </w:rPr>
            <w:t>6</w:t>
          </w:r>
        </w:p>
        <w:p w:rsidR="002E5894" w:rsidRPr="00E3522E" w:rsidRDefault="002E5894" w:rsidP="002E5894">
          <w:pPr>
            <w:pStyle w:val="Sumrio1"/>
            <w:tabs>
              <w:tab w:val="right" w:leader="dot" w:pos="9345"/>
            </w:tabs>
            <w:spacing w:before="120" w:after="120" w:line="360" w:lineRule="auto"/>
            <w:rPr>
              <w:rFonts w:ascii="Arial" w:hAnsi="Arial" w:cs="Arial"/>
            </w:rPr>
          </w:pPr>
          <w:r w:rsidRPr="00E3522E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2E5894" w:rsidRPr="00E3522E" w:rsidRDefault="002E5894" w:rsidP="002E5894">
      <w:pPr>
        <w:spacing w:before="120" w:after="120" w:line="360" w:lineRule="auto"/>
        <w:rPr>
          <w:rFonts w:ascii="Arial" w:hAnsi="Arial" w:cs="Arial"/>
          <w:b/>
        </w:rPr>
      </w:pPr>
      <w:bookmarkStart w:id="1" w:name="_Toc485831219"/>
      <w:bookmarkStart w:id="2" w:name="_Toc485831344"/>
      <w:bookmarkStart w:id="3" w:name="_Toc490390596"/>
      <w:bookmarkStart w:id="4" w:name="_Toc485748826"/>
      <w:r w:rsidRPr="00E3522E">
        <w:rPr>
          <w:rFonts w:ascii="Arial" w:hAnsi="Arial" w:cs="Arial"/>
          <w:b/>
        </w:rPr>
        <w:br w:type="page"/>
      </w:r>
    </w:p>
    <w:p w:rsidR="002E5894" w:rsidRPr="003D3293" w:rsidRDefault="002E5894" w:rsidP="002E5894">
      <w:pPr>
        <w:pStyle w:val="Default"/>
        <w:spacing w:before="120" w:after="120" w:line="360" w:lineRule="auto"/>
        <w:ind w:firstLine="567"/>
        <w:jc w:val="center"/>
        <w:rPr>
          <w:rFonts w:ascii="Arial" w:hAnsi="Arial" w:cs="Arial"/>
          <w:b/>
          <w:bCs/>
          <w:color w:val="FF0000"/>
        </w:rPr>
      </w:pPr>
      <w:r w:rsidRPr="003D3293">
        <w:rPr>
          <w:rFonts w:ascii="Arial" w:hAnsi="Arial" w:cs="Arial"/>
          <w:b/>
          <w:bCs/>
          <w:color w:val="FF0000"/>
        </w:rPr>
        <w:lastRenderedPageBreak/>
        <w:t>(</w:t>
      </w:r>
      <w:proofErr w:type="gramStart"/>
      <w:r w:rsidRPr="003D3293">
        <w:rPr>
          <w:rFonts w:ascii="Arial" w:hAnsi="Arial" w:cs="Arial"/>
          <w:b/>
          <w:bCs/>
          <w:color w:val="FF0000"/>
        </w:rPr>
        <w:t>verificar</w:t>
      </w:r>
      <w:proofErr w:type="gramEnd"/>
      <w:r w:rsidRPr="003D32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se as atribuições do Comitê de elegibilidade serão exercidas por outro comitê, conforme §2º do art. 6º do Decreto nº 1.484/2018</w:t>
      </w:r>
      <w:r w:rsidRPr="003D3293">
        <w:rPr>
          <w:rFonts w:ascii="Arial" w:hAnsi="Arial" w:cs="Arial"/>
          <w:b/>
          <w:bCs/>
          <w:color w:val="FF0000"/>
        </w:rPr>
        <w:t>)</w:t>
      </w:r>
    </w:p>
    <w:p w:rsidR="002E5894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</w:p>
    <w:p w:rsidR="002E5894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</w:p>
    <w:p w:rsidR="002E5894" w:rsidRPr="00E3522E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  <w:r w:rsidRPr="00E3522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APÍTULO</w:t>
      </w:r>
      <w:r w:rsidRPr="00E3522E">
        <w:rPr>
          <w:rFonts w:ascii="Arial" w:hAnsi="Arial" w:cs="Arial"/>
          <w:b/>
        </w:rPr>
        <w:t xml:space="preserve"> I</w:t>
      </w:r>
      <w:bookmarkEnd w:id="1"/>
      <w:bookmarkEnd w:id="2"/>
      <w:bookmarkEnd w:id="3"/>
    </w:p>
    <w:p w:rsidR="002E5894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OBJETO</w:t>
      </w:r>
    </w:p>
    <w:p w:rsidR="002E5894" w:rsidRPr="00E3522E" w:rsidRDefault="002E5894" w:rsidP="002E5894">
      <w:pPr>
        <w:spacing w:before="240" w:after="240" w:line="360" w:lineRule="auto"/>
        <w:jc w:val="center"/>
        <w:rPr>
          <w:rFonts w:ascii="Arial" w:hAnsi="Arial" w:cs="Arial"/>
          <w:b/>
        </w:rPr>
      </w:pP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Art. 1º. O presente Regimento Interno, devidamente aprovado em reunião do Conselho de Administração na data de </w:t>
      </w:r>
      <w:r w:rsidRPr="00455AEA">
        <w:rPr>
          <w:rFonts w:ascii="Arial" w:hAnsi="Arial" w:cs="Arial"/>
          <w:color w:val="FF0000"/>
        </w:rPr>
        <w:t>.../.../...</w:t>
      </w:r>
      <w:r w:rsidRPr="00E3522E">
        <w:rPr>
          <w:rFonts w:ascii="Arial" w:hAnsi="Arial" w:cs="Arial"/>
        </w:rPr>
        <w:t>, disciplina o funcionamento do Comitê de Elegibilidade (CE), regido pela legislação aplicável, e pelo disposto no Estatuto Social da (nome da empresa).</w:t>
      </w:r>
    </w:p>
    <w:bookmarkEnd w:id="4"/>
    <w:p w:rsidR="002E5894" w:rsidRDefault="002E5894" w:rsidP="002E5894">
      <w:pPr>
        <w:spacing w:before="240" w:after="240" w:line="360" w:lineRule="auto"/>
        <w:jc w:val="center"/>
        <w:rPr>
          <w:rFonts w:ascii="Arial" w:hAnsi="Arial" w:cs="Arial"/>
          <w:b/>
        </w:rPr>
      </w:pPr>
    </w:p>
    <w:p w:rsidR="002E5894" w:rsidRPr="00E3522E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II</w:t>
      </w:r>
    </w:p>
    <w:p w:rsidR="002E5894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  <w:bookmarkStart w:id="5" w:name="_Toc485832285"/>
      <w:bookmarkStart w:id="6" w:name="_Toc490390599"/>
      <w:r>
        <w:rPr>
          <w:rFonts w:ascii="Arial" w:hAnsi="Arial" w:cs="Arial"/>
          <w:b/>
        </w:rPr>
        <w:t>DO CONCEITO E COMPOSIÇÃO DO COMITÊ DE ELEGIBILIDADE</w:t>
      </w:r>
      <w:bookmarkEnd w:id="5"/>
      <w:bookmarkEnd w:id="6"/>
    </w:p>
    <w:p w:rsidR="002E5894" w:rsidRPr="00E3522E" w:rsidRDefault="002E5894" w:rsidP="002E5894">
      <w:pPr>
        <w:spacing w:before="240" w:after="240" w:line="360" w:lineRule="auto"/>
        <w:jc w:val="center"/>
        <w:rPr>
          <w:rFonts w:ascii="Arial" w:hAnsi="Arial" w:cs="Arial"/>
          <w:b/>
        </w:rPr>
      </w:pPr>
    </w:p>
    <w:p w:rsidR="002E5894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Art. 2º O CE é um órgão colegiado, independente, de caráter permanente, </w:t>
      </w:r>
      <w:r w:rsidRPr="002A55BB">
        <w:rPr>
          <w:rFonts w:ascii="Arial" w:hAnsi="Arial" w:cs="Arial"/>
        </w:rPr>
        <w:t xml:space="preserve">opinativo, </w:t>
      </w:r>
      <w:r w:rsidRPr="00E3522E">
        <w:rPr>
          <w:rFonts w:ascii="Arial" w:hAnsi="Arial" w:cs="Arial"/>
        </w:rPr>
        <w:t xml:space="preserve">que tem por finalidade, entre outras, a de verificar a conformidade do processo de indicação de membros para compor o Conselho de Administração, Conselho Fiscal e Diretoria Executiva da Empresa, com competência para </w:t>
      </w:r>
      <w:r w:rsidRPr="002A55BB">
        <w:rPr>
          <w:rFonts w:ascii="Arial" w:hAnsi="Arial" w:cs="Arial"/>
        </w:rPr>
        <w:t xml:space="preserve">auxiliar o acionista controlador </w:t>
      </w:r>
      <w:r w:rsidRPr="00E3522E">
        <w:rPr>
          <w:rFonts w:ascii="Arial" w:hAnsi="Arial" w:cs="Arial"/>
        </w:rPr>
        <w:t>na indicação desses membros, conforme determina a Lei Federal nº 13.303, de 30 de junho de 2016</w:t>
      </w:r>
      <w:r>
        <w:rPr>
          <w:rFonts w:ascii="Arial" w:hAnsi="Arial" w:cs="Arial"/>
        </w:rPr>
        <w:t xml:space="preserve">, e </w:t>
      </w:r>
      <w:r w:rsidRPr="002A55BB">
        <w:rPr>
          <w:rFonts w:ascii="Arial" w:hAnsi="Arial" w:cs="Arial"/>
        </w:rPr>
        <w:t>o Decreto nº 1.007, de 20 de dezembro de 2016</w:t>
      </w:r>
      <w:r>
        <w:rPr>
          <w:rFonts w:ascii="Arial" w:hAnsi="Arial" w:cs="Arial"/>
        </w:rPr>
        <w:t>.</w:t>
      </w:r>
    </w:p>
    <w:p w:rsidR="002E5894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Art. 3º O CE será constituído por 3 (três) a 5 (cinco) membros efetivos e respectivos suplentes, escolhidos pel</w:t>
      </w:r>
      <w:r>
        <w:rPr>
          <w:rFonts w:ascii="Arial" w:hAnsi="Arial" w:cs="Arial"/>
        </w:rPr>
        <w:t>a Assembleia Geral,</w:t>
      </w:r>
      <w:r w:rsidRPr="00E3522E">
        <w:rPr>
          <w:rFonts w:ascii="Arial" w:hAnsi="Arial" w:cs="Arial"/>
        </w:rPr>
        <w:t xml:space="preserve"> com reputação ilibada, devendo sua composição</w:t>
      </w:r>
      <w:r>
        <w:rPr>
          <w:rFonts w:ascii="Arial" w:hAnsi="Arial" w:cs="Arial"/>
        </w:rPr>
        <w:t>, preferencialmente, comportar</w:t>
      </w:r>
      <w:r w:rsidRPr="00E35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E3522E">
        <w:rPr>
          <w:rFonts w:ascii="Arial" w:hAnsi="Arial" w:cs="Arial"/>
        </w:rPr>
        <w:t>s seguintes indicações:</w:t>
      </w:r>
    </w:p>
    <w:p w:rsidR="002E5894" w:rsidRPr="00E3522E" w:rsidRDefault="002E5894" w:rsidP="002E5894">
      <w:pPr>
        <w:tabs>
          <w:tab w:val="left" w:pos="1134"/>
          <w:tab w:val="left" w:pos="1843"/>
        </w:tabs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I - 1 (um) membro titular e suplente da área de gestão de pessoas;</w:t>
      </w:r>
    </w:p>
    <w:p w:rsidR="002E5894" w:rsidRPr="00E3522E" w:rsidRDefault="002E5894" w:rsidP="002E5894">
      <w:pPr>
        <w:tabs>
          <w:tab w:val="left" w:pos="1134"/>
          <w:tab w:val="left" w:pos="1843"/>
        </w:tabs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II - 1 (um) membro titular e suplente da área de gestão de riscos ou </w:t>
      </w:r>
      <w:proofErr w:type="spellStart"/>
      <w:r w:rsidRPr="00E3522E">
        <w:rPr>
          <w:rFonts w:ascii="Arial" w:hAnsi="Arial" w:cs="Arial"/>
          <w:i/>
        </w:rPr>
        <w:t>compliance</w:t>
      </w:r>
      <w:proofErr w:type="spellEnd"/>
      <w:r w:rsidRPr="00E3522E">
        <w:rPr>
          <w:rFonts w:ascii="Arial" w:hAnsi="Arial" w:cs="Arial"/>
        </w:rPr>
        <w:t>;</w:t>
      </w:r>
    </w:p>
    <w:p w:rsidR="002E5894" w:rsidRPr="00E3522E" w:rsidRDefault="002E5894" w:rsidP="002E5894">
      <w:pPr>
        <w:tabs>
          <w:tab w:val="left" w:pos="1134"/>
          <w:tab w:val="left" w:pos="1843"/>
        </w:tabs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lastRenderedPageBreak/>
        <w:t>III - 1 (um) membro titular e suplente da área de gestão estratégica ou de auditoria interna;</w:t>
      </w:r>
    </w:p>
    <w:p w:rsidR="002E5894" w:rsidRPr="00E3522E" w:rsidRDefault="002E5894" w:rsidP="002E5894">
      <w:pPr>
        <w:tabs>
          <w:tab w:val="left" w:pos="1134"/>
          <w:tab w:val="left" w:pos="1843"/>
        </w:tabs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IV - 1 (um) membro titular e suplente da área d</w:t>
      </w:r>
      <w:r>
        <w:rPr>
          <w:rFonts w:ascii="Arial" w:hAnsi="Arial" w:cs="Arial"/>
        </w:rPr>
        <w:t>o</w:t>
      </w:r>
      <w:r w:rsidRPr="00E35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departamento</w:t>
      </w:r>
      <w:r w:rsidRPr="00E3522E">
        <w:rPr>
          <w:rFonts w:ascii="Arial" w:hAnsi="Arial" w:cs="Arial"/>
        </w:rPr>
        <w:t xml:space="preserve"> jurídic</w:t>
      </w:r>
      <w:r>
        <w:rPr>
          <w:rFonts w:ascii="Arial" w:hAnsi="Arial" w:cs="Arial"/>
        </w:rPr>
        <w:t>o</w:t>
      </w:r>
      <w:r w:rsidRPr="00E3522E">
        <w:rPr>
          <w:rFonts w:ascii="Arial" w:hAnsi="Arial" w:cs="Arial"/>
        </w:rPr>
        <w:t>;</w:t>
      </w:r>
    </w:p>
    <w:p w:rsidR="002E5894" w:rsidRDefault="002E5894" w:rsidP="002E5894">
      <w:pPr>
        <w:tabs>
          <w:tab w:val="left" w:pos="1134"/>
          <w:tab w:val="left" w:pos="1843"/>
        </w:tabs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V - 1 (um) membro titular e suplente do Conselho de Administração. 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§1º O representante do Conselho de Administração deverá assumir a coordenação do CE.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§2º Os membros do CE não serão remunerados.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§3º Os membros do CE serão nomeados, empossados e destituídos pel</w:t>
      </w:r>
      <w:r>
        <w:rPr>
          <w:rFonts w:ascii="Arial" w:hAnsi="Arial" w:cs="Arial"/>
        </w:rPr>
        <w:t>a Assembleia Geral</w:t>
      </w:r>
      <w:r w:rsidRPr="00E3522E">
        <w:rPr>
          <w:rFonts w:ascii="Arial" w:hAnsi="Arial" w:cs="Arial"/>
        </w:rPr>
        <w:t>.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§4º Caberá </w:t>
      </w:r>
      <w:r>
        <w:rPr>
          <w:rFonts w:ascii="Arial" w:hAnsi="Arial" w:cs="Arial"/>
        </w:rPr>
        <w:t>à Assembleia Geral</w:t>
      </w:r>
      <w:r w:rsidRPr="00E3522E">
        <w:rPr>
          <w:rFonts w:ascii="Arial" w:hAnsi="Arial" w:cs="Arial"/>
        </w:rPr>
        <w:t>, em reunião, decidir e aprovar os pedidos de renúncia e vacância dos membros do CE.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§5º A posse dos membros do CE se dará com a assinatura do termo de posse.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§6º É indelegável a função do integrante do CE. </w:t>
      </w:r>
    </w:p>
    <w:p w:rsidR="002E5894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§7º O mandato dos membros do CE será de </w:t>
      </w:r>
      <w:r>
        <w:rPr>
          <w:rFonts w:ascii="Arial" w:hAnsi="Arial" w:cs="Arial"/>
        </w:rPr>
        <w:t>2</w:t>
      </w:r>
      <w:r w:rsidRPr="00E3522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dois</w:t>
      </w:r>
      <w:r w:rsidRPr="00E3522E">
        <w:rPr>
          <w:rFonts w:ascii="Arial" w:hAnsi="Arial" w:cs="Arial"/>
        </w:rPr>
        <w:t>) anos, conforme estabelecido no Estatuto Social, devendo coincidir com o mandato dos membros do Conselho de Administração.</w:t>
      </w:r>
    </w:p>
    <w:p w:rsidR="002E5894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§8º A atribuição de que trata o caput deste artigo poderá ser exercida ou cumulada por outro Comitê existente na empresa estatal. </w:t>
      </w:r>
      <w:r w:rsidRPr="002A55BB">
        <w:rPr>
          <w:rFonts w:ascii="Arial" w:hAnsi="Arial" w:cs="Arial"/>
          <w:color w:val="FF0000"/>
        </w:rPr>
        <w:t>(</w:t>
      </w:r>
      <w:proofErr w:type="gramStart"/>
      <w:r w:rsidRPr="002A55BB">
        <w:rPr>
          <w:rFonts w:ascii="Arial" w:hAnsi="Arial" w:cs="Arial"/>
          <w:color w:val="FF0000"/>
        </w:rPr>
        <w:t>desde</w:t>
      </w:r>
      <w:proofErr w:type="gramEnd"/>
      <w:r w:rsidRPr="002A55BB">
        <w:rPr>
          <w:rFonts w:ascii="Arial" w:hAnsi="Arial" w:cs="Arial"/>
          <w:color w:val="FF0000"/>
        </w:rPr>
        <w:t xml:space="preserve"> que esta previsão conste de seu Estatuto Social)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</w:p>
    <w:p w:rsidR="002E5894" w:rsidRPr="00E3522E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  <w:bookmarkStart w:id="7" w:name="_Toc485748830"/>
      <w:bookmarkStart w:id="8" w:name="_Toc490390600"/>
      <w:r>
        <w:rPr>
          <w:rFonts w:ascii="Arial" w:hAnsi="Arial" w:cs="Arial"/>
          <w:b/>
        </w:rPr>
        <w:t>CAPÍTULO</w:t>
      </w:r>
      <w:r w:rsidRPr="00E3522E">
        <w:rPr>
          <w:rFonts w:ascii="Arial" w:hAnsi="Arial" w:cs="Arial"/>
          <w:b/>
        </w:rPr>
        <w:t xml:space="preserve"> III</w:t>
      </w:r>
      <w:bookmarkEnd w:id="7"/>
      <w:bookmarkEnd w:id="8"/>
      <w:r w:rsidRPr="00E3522E">
        <w:rPr>
          <w:rFonts w:ascii="Arial" w:hAnsi="Arial" w:cs="Arial"/>
          <w:b/>
        </w:rPr>
        <w:t xml:space="preserve"> </w:t>
      </w:r>
    </w:p>
    <w:p w:rsidR="002E5894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  <w:bookmarkStart w:id="9" w:name="_Toc485832289"/>
      <w:bookmarkStart w:id="10" w:name="_Toc490390601"/>
      <w:r>
        <w:rPr>
          <w:rFonts w:ascii="Arial" w:hAnsi="Arial" w:cs="Arial"/>
          <w:b/>
        </w:rPr>
        <w:t>DAS ATRIBUIÇÕES E COMPETÊNCIAS DO COMITÊ DE ELEGIBILIDADE</w:t>
      </w:r>
      <w:bookmarkEnd w:id="9"/>
      <w:bookmarkEnd w:id="10"/>
    </w:p>
    <w:p w:rsidR="002E5894" w:rsidRPr="00E3522E" w:rsidRDefault="002E5894" w:rsidP="002E5894">
      <w:pPr>
        <w:spacing w:before="240" w:after="240" w:line="360" w:lineRule="auto"/>
        <w:jc w:val="center"/>
        <w:rPr>
          <w:rFonts w:ascii="Arial" w:hAnsi="Arial" w:cs="Arial"/>
          <w:b/>
        </w:rPr>
      </w:pP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Art. 4º Compete ao CE:</w:t>
      </w:r>
    </w:p>
    <w:p w:rsidR="002E5894" w:rsidRPr="00336B62" w:rsidRDefault="002E5894" w:rsidP="002E5894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</w:rPr>
      </w:pPr>
      <w:r w:rsidRPr="00336B62">
        <w:rPr>
          <w:rFonts w:ascii="Arial" w:hAnsi="Arial" w:cs="Arial"/>
        </w:rPr>
        <w:lastRenderedPageBreak/>
        <w:t xml:space="preserve">I - </w:t>
      </w:r>
      <w:proofErr w:type="gramStart"/>
      <w:r w:rsidRPr="00336B62">
        <w:rPr>
          <w:rFonts w:ascii="Arial" w:hAnsi="Arial" w:cs="Arial"/>
        </w:rPr>
        <w:t>verificar</w:t>
      </w:r>
      <w:proofErr w:type="gramEnd"/>
      <w:r w:rsidRPr="00336B62">
        <w:rPr>
          <w:rFonts w:ascii="Arial" w:hAnsi="Arial" w:cs="Arial"/>
        </w:rPr>
        <w:t xml:space="preserve"> a conformidade do processo de indicação dos administradores e </w:t>
      </w:r>
      <w:r>
        <w:rPr>
          <w:rFonts w:ascii="Arial" w:hAnsi="Arial" w:cs="Arial"/>
        </w:rPr>
        <w:t xml:space="preserve">dos </w:t>
      </w:r>
      <w:r w:rsidRPr="00336B62">
        <w:rPr>
          <w:rFonts w:ascii="Arial" w:hAnsi="Arial" w:cs="Arial"/>
        </w:rPr>
        <w:t>membros do Conselho Fiscal sobre o preenchimento dos requisitos e a ausência de vedações, auxiliando o acionista controlador na indicação desses membros;</w:t>
      </w:r>
    </w:p>
    <w:p w:rsidR="002E5894" w:rsidRPr="00336B62" w:rsidRDefault="002E5894" w:rsidP="002E5894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</w:rPr>
      </w:pPr>
      <w:r w:rsidRPr="00336B62">
        <w:rPr>
          <w:rFonts w:ascii="Arial" w:hAnsi="Arial" w:cs="Arial"/>
        </w:rPr>
        <w:t xml:space="preserve">II - </w:t>
      </w:r>
      <w:proofErr w:type="gramStart"/>
      <w:r w:rsidRPr="00336B62">
        <w:rPr>
          <w:rFonts w:ascii="Arial" w:hAnsi="Arial" w:cs="Arial"/>
        </w:rPr>
        <w:t>verificar</w:t>
      </w:r>
      <w:proofErr w:type="gramEnd"/>
      <w:r w:rsidRPr="00336B62">
        <w:rPr>
          <w:rFonts w:ascii="Arial" w:hAnsi="Arial" w:cs="Arial"/>
        </w:rPr>
        <w:t xml:space="preserve"> a conformidade do processo de avaliação dos administradores e membros do Conselho Fiscal;</w:t>
      </w:r>
    </w:p>
    <w:p w:rsidR="002E5894" w:rsidRPr="00336B62" w:rsidRDefault="002E5894" w:rsidP="002E5894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</w:rPr>
      </w:pPr>
      <w:r w:rsidRPr="00336B62">
        <w:rPr>
          <w:rFonts w:ascii="Arial" w:hAnsi="Arial" w:cs="Arial"/>
        </w:rPr>
        <w:t xml:space="preserve">III </w:t>
      </w:r>
      <w:r>
        <w:rPr>
          <w:rFonts w:ascii="Arial" w:hAnsi="Arial" w:cs="Arial"/>
        </w:rPr>
        <w:t>-</w:t>
      </w:r>
      <w:r w:rsidRPr="00336B62">
        <w:rPr>
          <w:rFonts w:ascii="Arial" w:hAnsi="Arial" w:cs="Arial"/>
        </w:rPr>
        <w:t xml:space="preserve"> prestar apoio, ao Conselho de Administração, na avaliação dos diretores da empresa nos termos do inciso III do art. 13 da Lei Federal nº 13.303/2016, quando solicitado</w:t>
      </w:r>
      <w:r>
        <w:rPr>
          <w:rFonts w:ascii="Arial" w:hAnsi="Arial" w:cs="Arial"/>
        </w:rPr>
        <w:t>.</w:t>
      </w:r>
    </w:p>
    <w:p w:rsidR="002E5894" w:rsidRPr="00336B62" w:rsidRDefault="002E5894" w:rsidP="002E5894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Arial" w:hAnsi="Arial" w:cs="Arial"/>
        </w:rPr>
      </w:pPr>
      <w:r w:rsidRPr="00336B62">
        <w:rPr>
          <w:rFonts w:ascii="Arial" w:hAnsi="Arial" w:cs="Arial"/>
        </w:rPr>
        <w:t>Parágrafo único. Encaminhar ao acionista controlador e ao Conselho de Administração</w:t>
      </w:r>
      <w:r>
        <w:rPr>
          <w:rFonts w:ascii="Arial" w:hAnsi="Arial" w:cs="Arial"/>
        </w:rPr>
        <w:t>, conforme o caso,</w:t>
      </w:r>
      <w:r w:rsidRPr="00336B62">
        <w:rPr>
          <w:rFonts w:ascii="Arial" w:hAnsi="Arial" w:cs="Arial"/>
        </w:rPr>
        <w:t xml:space="preserve"> as atas de reuniões, pareceres e relatórios elaborados pelo Comitê com o fim de verificar </w:t>
      </w:r>
      <w:r w:rsidRPr="00336B62">
        <w:rPr>
          <w:rFonts w:ascii="Arial" w:eastAsiaTheme="minorHAnsi" w:hAnsi="Arial" w:cs="Arial"/>
          <w:lang w:eastAsia="en-US"/>
        </w:rPr>
        <w:t>o cumprimento, pelos membros indicados, dos requisitos definidos na política de indicação, devendo ser registradas as eventuais manifestações divergentes</w:t>
      </w:r>
      <w:r w:rsidRPr="00336B62">
        <w:rPr>
          <w:rFonts w:ascii="Arial" w:hAnsi="Arial" w:cs="Arial"/>
        </w:rPr>
        <w:t>.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Art. 5º Quando da verificação da indicação de administradores e conselheiros fiscais, o processo deverá seguir os trâmites previstos neste artigo.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§ 1º O CE deverá se manifestar no prazo máximo de 5 (cinco) dias úteis, a partir do recebimento do processo de indicação, sob pena de responsabilização de seus membros. 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§ 2º Caso haja motivo justificado, o prazo de análise mencionado no § 1º poderá ser suspenso por ato formal do CE.</w:t>
      </w:r>
    </w:p>
    <w:p w:rsidR="002E5894" w:rsidRPr="00E3522E" w:rsidRDefault="002E5894" w:rsidP="002E5894">
      <w:pPr>
        <w:autoSpaceDE w:val="0"/>
        <w:autoSpaceDN w:val="0"/>
        <w:adjustRightInd w:val="0"/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§ 3º Constatada a não conformidade da indicação, o CE encaminhará manifestação fundamentada ao responsável legal pela indicação, que poderá reapresentá-la, também de forma fundamentada. Ao término da análise do CE e caso persistam as divergências, as fundamentações devem ser encaminhadas ao </w:t>
      </w:r>
      <w:r>
        <w:rPr>
          <w:rFonts w:ascii="Arial" w:hAnsi="Arial" w:cs="Arial"/>
        </w:rPr>
        <w:t>Acionista Controlador</w:t>
      </w:r>
      <w:r w:rsidRPr="00E3522E">
        <w:rPr>
          <w:rFonts w:ascii="Arial" w:hAnsi="Arial" w:cs="Arial"/>
        </w:rPr>
        <w:t xml:space="preserve">, </w:t>
      </w:r>
      <w:r w:rsidRPr="002A55BB">
        <w:rPr>
          <w:rFonts w:ascii="Arial" w:hAnsi="Arial" w:cs="Arial"/>
        </w:rPr>
        <w:t xml:space="preserve">que poderá, a seu critério, encaminhar à Assembleia </w:t>
      </w:r>
      <w:r>
        <w:rPr>
          <w:rFonts w:ascii="Arial" w:hAnsi="Arial" w:cs="Arial"/>
        </w:rPr>
        <w:t xml:space="preserve">Geral </w:t>
      </w:r>
      <w:r w:rsidRPr="002A55BB">
        <w:rPr>
          <w:rFonts w:ascii="Arial" w:hAnsi="Arial" w:cs="Arial"/>
        </w:rPr>
        <w:t>ou ao Conselho de Administração para deliberação</w:t>
      </w:r>
      <w:r w:rsidRPr="00E3522E">
        <w:rPr>
          <w:rFonts w:ascii="Arial" w:hAnsi="Arial" w:cs="Arial"/>
        </w:rPr>
        <w:t>.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§ 4º Constatada a conformidade da indicação por parte do CE, </w:t>
      </w:r>
      <w:proofErr w:type="spellStart"/>
      <w:r w:rsidRPr="00E3522E">
        <w:rPr>
          <w:rFonts w:ascii="Arial" w:hAnsi="Arial" w:cs="Arial"/>
        </w:rPr>
        <w:t>esta</w:t>
      </w:r>
      <w:proofErr w:type="spellEnd"/>
      <w:r w:rsidRPr="00E3522E">
        <w:rPr>
          <w:rFonts w:ascii="Arial" w:hAnsi="Arial" w:cs="Arial"/>
        </w:rPr>
        <w:t xml:space="preserve"> só estará concretizada quando a Assembleia Geral ou o Conselho de Administração, conforme o caso, assim o decidirem.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lastRenderedPageBreak/>
        <w:t>§ 5º. Os indicados pelo acionista majoritário deverão observar o disposto na Instrução Normativa SEF/SCC nº 80/2017, ou normativo que venha a substituí-la.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Art. 6º Caberá ao coordenador do CE a convocação dos membros para a realização de reunião, atendendo à solicitação do </w:t>
      </w:r>
      <w:r>
        <w:rPr>
          <w:rFonts w:ascii="Arial" w:hAnsi="Arial" w:cs="Arial"/>
        </w:rPr>
        <w:t>Acionista Controlador</w:t>
      </w:r>
      <w:r w:rsidRPr="00E3522E">
        <w:rPr>
          <w:rFonts w:ascii="Arial" w:hAnsi="Arial" w:cs="Arial"/>
        </w:rPr>
        <w:t xml:space="preserve"> ou de qualquer membro do CE.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§ 1º As reuniões do CE se instalarão com a presença da maioria simples de seus membros.</w:t>
      </w:r>
    </w:p>
    <w:p w:rsidR="002E5894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§ 2º O CE deverá, desde que conste do aviso de convocação, reunir-se preferencialmente na sede da empresa ou em outro local, ou por telefone ou videoconferência, ou por qualquer outro meio de comunicação que garanta a manifestação do voto de seus membros. Nesses casos, os membros do CE serão considerados presentes e deverão assinar a correspondente ata.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</w:p>
    <w:p w:rsidR="002E5894" w:rsidRPr="00E3522E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  <w:bookmarkStart w:id="11" w:name="_Toc485748832"/>
      <w:bookmarkStart w:id="12" w:name="_Toc490390602"/>
      <w:r>
        <w:rPr>
          <w:rFonts w:ascii="Arial" w:hAnsi="Arial" w:cs="Arial"/>
          <w:b/>
        </w:rPr>
        <w:t>CAPÍTULO</w:t>
      </w:r>
      <w:r w:rsidRPr="00E3522E">
        <w:rPr>
          <w:rFonts w:ascii="Arial" w:hAnsi="Arial" w:cs="Arial"/>
          <w:b/>
        </w:rPr>
        <w:t xml:space="preserve"> IV</w:t>
      </w:r>
      <w:bookmarkEnd w:id="11"/>
      <w:bookmarkEnd w:id="12"/>
    </w:p>
    <w:p w:rsidR="002E5894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  <w:bookmarkStart w:id="13" w:name="_Toc485832291"/>
      <w:bookmarkStart w:id="14" w:name="_Toc490390603"/>
      <w:r>
        <w:rPr>
          <w:rFonts w:ascii="Arial" w:hAnsi="Arial" w:cs="Arial"/>
          <w:b/>
        </w:rPr>
        <w:t>DAS DELIBERAÇÕES DO COMITÊ DE ELEGIBILIDADE</w:t>
      </w:r>
      <w:bookmarkEnd w:id="13"/>
      <w:bookmarkEnd w:id="14"/>
    </w:p>
    <w:p w:rsidR="002E5894" w:rsidRPr="00E3522E" w:rsidRDefault="002E5894" w:rsidP="002E5894">
      <w:pPr>
        <w:spacing w:before="240" w:after="240" w:line="360" w:lineRule="auto"/>
        <w:jc w:val="center"/>
        <w:rPr>
          <w:rFonts w:ascii="Arial" w:hAnsi="Arial" w:cs="Arial"/>
          <w:b/>
        </w:rPr>
      </w:pP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Art. 7º O CE deliberará por maioria simples de votos dos membros, com registro em ata.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Parágrafo único. A ata contendo a verificação dos requisitos e vedações de indicação dos Administradores e membros do Conselho Fiscal, definidos na Lei nº 13.303, de 2016</w:t>
      </w:r>
      <w:r>
        <w:rPr>
          <w:rFonts w:ascii="Arial" w:hAnsi="Arial" w:cs="Arial"/>
        </w:rPr>
        <w:t>, deve</w:t>
      </w:r>
      <w:r w:rsidRPr="00E3522E">
        <w:rPr>
          <w:rFonts w:ascii="Arial" w:hAnsi="Arial" w:cs="Arial"/>
        </w:rPr>
        <w:t>: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 w:rsidRPr="00E3522E">
        <w:rPr>
          <w:rFonts w:ascii="Arial" w:hAnsi="Arial" w:cs="Arial"/>
        </w:rPr>
        <w:t>ser</w:t>
      </w:r>
      <w:proofErr w:type="gramEnd"/>
      <w:r w:rsidRPr="00E3522E">
        <w:rPr>
          <w:rFonts w:ascii="Arial" w:hAnsi="Arial" w:cs="Arial"/>
        </w:rPr>
        <w:t xml:space="preserve"> lavrada na forma de sumário dos fatos ocorridos, inclusive das dissidências e dos protestos;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proofErr w:type="gramStart"/>
      <w:r w:rsidRPr="00E3522E">
        <w:rPr>
          <w:rFonts w:ascii="Arial" w:hAnsi="Arial" w:cs="Arial"/>
        </w:rPr>
        <w:t>ser</w:t>
      </w:r>
      <w:proofErr w:type="gramEnd"/>
      <w:r w:rsidRPr="00E3522E">
        <w:rPr>
          <w:rFonts w:ascii="Arial" w:hAnsi="Arial" w:cs="Arial"/>
        </w:rPr>
        <w:t xml:space="preserve"> encaminhada ao </w:t>
      </w:r>
      <w:r>
        <w:rPr>
          <w:rFonts w:ascii="Arial" w:hAnsi="Arial" w:cs="Arial"/>
        </w:rPr>
        <w:t>Acionista Controlador</w:t>
      </w:r>
      <w:r w:rsidRPr="00E3522E">
        <w:rPr>
          <w:rFonts w:ascii="Arial" w:hAnsi="Arial" w:cs="Arial"/>
        </w:rPr>
        <w:t>, após ter sido lida, aprovada e assinada pelos presentes na reunião;</w:t>
      </w:r>
    </w:p>
    <w:p w:rsidR="002E5894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- </w:t>
      </w:r>
      <w:r w:rsidRPr="00E3522E">
        <w:rPr>
          <w:rFonts w:ascii="Arial" w:hAnsi="Arial" w:cs="Arial"/>
        </w:rPr>
        <w:t xml:space="preserve">ser divulgada, por instrumento definido pela </w:t>
      </w:r>
      <w:r>
        <w:rPr>
          <w:rFonts w:ascii="Arial" w:hAnsi="Arial" w:cs="Arial"/>
        </w:rPr>
        <w:t>e</w:t>
      </w:r>
      <w:r w:rsidRPr="00E3522E">
        <w:rPr>
          <w:rFonts w:ascii="Arial" w:hAnsi="Arial" w:cs="Arial"/>
        </w:rPr>
        <w:t>mpresa.</w:t>
      </w:r>
    </w:p>
    <w:p w:rsidR="002E5894" w:rsidRPr="00E3522E" w:rsidRDefault="002E5894" w:rsidP="002E5894">
      <w:pPr>
        <w:pStyle w:val="PargrafodaLista"/>
        <w:tabs>
          <w:tab w:val="left" w:pos="1418"/>
          <w:tab w:val="left" w:pos="1560"/>
        </w:tabs>
        <w:spacing w:before="240" w:after="240" w:line="360" w:lineRule="auto"/>
        <w:ind w:left="1134"/>
        <w:jc w:val="both"/>
        <w:rPr>
          <w:rFonts w:ascii="Arial" w:hAnsi="Arial" w:cs="Arial"/>
        </w:rPr>
      </w:pPr>
    </w:p>
    <w:p w:rsidR="002E5894" w:rsidRPr="00E3522E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  <w:bookmarkStart w:id="15" w:name="_Toc485748834"/>
      <w:bookmarkStart w:id="16" w:name="_Toc490390604"/>
      <w:r>
        <w:rPr>
          <w:rFonts w:ascii="Arial" w:hAnsi="Arial" w:cs="Arial"/>
          <w:b/>
        </w:rPr>
        <w:t>CAPÍTULO</w:t>
      </w:r>
      <w:r w:rsidRPr="00E3522E">
        <w:rPr>
          <w:rFonts w:ascii="Arial" w:hAnsi="Arial" w:cs="Arial"/>
          <w:b/>
        </w:rPr>
        <w:t xml:space="preserve"> V</w:t>
      </w:r>
      <w:bookmarkEnd w:id="15"/>
      <w:bookmarkEnd w:id="16"/>
    </w:p>
    <w:p w:rsidR="002E5894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  <w:bookmarkStart w:id="17" w:name="_Toc485832293"/>
      <w:bookmarkStart w:id="18" w:name="_Toc490390605"/>
      <w:r>
        <w:rPr>
          <w:rFonts w:ascii="Arial" w:hAnsi="Arial" w:cs="Arial"/>
          <w:b/>
        </w:rPr>
        <w:t>DAS RESPONSABILIDADES E DEVERES</w:t>
      </w:r>
      <w:bookmarkEnd w:id="17"/>
      <w:bookmarkEnd w:id="18"/>
      <w:r w:rsidRPr="00E3522E">
        <w:rPr>
          <w:rFonts w:ascii="Arial" w:hAnsi="Arial" w:cs="Arial"/>
          <w:b/>
        </w:rPr>
        <w:t xml:space="preserve"> </w:t>
      </w:r>
    </w:p>
    <w:p w:rsidR="002E5894" w:rsidRPr="00E3522E" w:rsidRDefault="002E5894" w:rsidP="002E5894">
      <w:pPr>
        <w:spacing w:before="240" w:after="240" w:line="360" w:lineRule="auto"/>
        <w:jc w:val="center"/>
        <w:rPr>
          <w:rFonts w:ascii="Arial" w:hAnsi="Arial" w:cs="Arial"/>
          <w:b/>
        </w:rPr>
      </w:pP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Art. 8º Os membros do CE obrigam-se a cumprir o Estatuto Social, o Código de Conduta e Integridade e as demais normas internas aplicáveis. 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Art. 9º Os membros do CE estarão sujeitos aos mesmos deveres e responsabilidades legais dos Administradores, nos termos do artigo 160 da Lei nº 6.404, de 15 de dezembro de 1976, neles incluído o dever de informar ao </w:t>
      </w:r>
      <w:r>
        <w:rPr>
          <w:rFonts w:ascii="Arial" w:hAnsi="Arial" w:cs="Arial"/>
        </w:rPr>
        <w:t>Acionista Controlador</w:t>
      </w:r>
      <w:r w:rsidRPr="00E3522E">
        <w:rPr>
          <w:rFonts w:ascii="Arial" w:hAnsi="Arial" w:cs="Arial"/>
        </w:rPr>
        <w:t xml:space="preserve"> a existência de eventual conflito de interesse. </w:t>
      </w:r>
    </w:p>
    <w:p w:rsidR="002E5894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 xml:space="preserve">Art. 10º Todos os documentos e informações colocados à disposição do CE, quando não estiverem disponíveis junto ao público, serão mantidos em sigilo, não podendo, de forma alguma, ser examinados por terceiros, salvo aqueles vinculados à Empresa ou quando assim deliberar o CE. </w:t>
      </w: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</w:p>
    <w:p w:rsidR="002E5894" w:rsidRPr="00E3522E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  <w:bookmarkStart w:id="19" w:name="_Toc485748836"/>
      <w:bookmarkStart w:id="20" w:name="_Toc490390606"/>
      <w:r>
        <w:rPr>
          <w:rFonts w:ascii="Arial" w:hAnsi="Arial" w:cs="Arial"/>
          <w:b/>
        </w:rPr>
        <w:t>CAPÍTULO</w:t>
      </w:r>
      <w:r w:rsidRPr="00E3522E">
        <w:rPr>
          <w:rFonts w:ascii="Arial" w:hAnsi="Arial" w:cs="Arial"/>
          <w:b/>
        </w:rPr>
        <w:t xml:space="preserve"> VI</w:t>
      </w:r>
      <w:bookmarkEnd w:id="19"/>
      <w:bookmarkEnd w:id="20"/>
      <w:r w:rsidRPr="00E3522E">
        <w:rPr>
          <w:rFonts w:ascii="Arial" w:hAnsi="Arial" w:cs="Arial"/>
          <w:b/>
        </w:rPr>
        <w:t xml:space="preserve"> </w:t>
      </w:r>
    </w:p>
    <w:p w:rsidR="002E5894" w:rsidRDefault="002E5894" w:rsidP="002E589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CONSIDERAÇÕES FINAIS</w:t>
      </w:r>
    </w:p>
    <w:p w:rsidR="002E5894" w:rsidRPr="00E3522E" w:rsidRDefault="002E5894" w:rsidP="002E5894">
      <w:pPr>
        <w:spacing w:before="240" w:after="240" w:line="360" w:lineRule="auto"/>
        <w:jc w:val="center"/>
        <w:rPr>
          <w:rFonts w:ascii="Arial" w:hAnsi="Arial" w:cs="Arial"/>
          <w:b/>
        </w:rPr>
      </w:pPr>
    </w:p>
    <w:p w:rsidR="002E5894" w:rsidRPr="00E3522E" w:rsidRDefault="002E5894" w:rsidP="002E5894">
      <w:pPr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Art. 11º O escopo das atribuições do CE estende-se, quando aplicável, às sociedades subsidiárias e controladas da empresa, conforme Estatuto Social, e normativos internos, observada a legislação aplicável.</w:t>
      </w:r>
    </w:p>
    <w:p w:rsidR="002E5894" w:rsidRPr="00E3522E" w:rsidRDefault="002E5894" w:rsidP="002E5894">
      <w:pPr>
        <w:tabs>
          <w:tab w:val="left" w:pos="1418"/>
          <w:tab w:val="left" w:pos="1701"/>
        </w:tabs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E3522E">
        <w:rPr>
          <w:rFonts w:ascii="Arial" w:hAnsi="Arial" w:cs="Arial"/>
        </w:rPr>
        <w:t>Art. 12º A Diretoria deve prover os recursos necessários ao funcionamento do CE, incluindo a disponibilização de pessoal interno para assessorar a condução dos trabalhos e secretariar as reuniões.</w:t>
      </w:r>
    </w:p>
    <w:p w:rsidR="008B1980" w:rsidRDefault="008B1980"/>
    <w:sectPr w:rsidR="008B1980" w:rsidSect="00BD6804">
      <w:headerReference w:type="default" r:id="rId8"/>
      <w:pgSz w:w="11907" w:h="16839" w:code="9"/>
      <w:pgMar w:top="1298" w:right="1134" w:bottom="1191" w:left="1418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94" w:rsidRDefault="002E5894" w:rsidP="002E5894">
      <w:r>
        <w:separator/>
      </w:r>
    </w:p>
  </w:endnote>
  <w:endnote w:type="continuationSeparator" w:id="0">
    <w:p w:rsidR="002E5894" w:rsidRDefault="002E5894" w:rsidP="002E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ianti Win95BT">
    <w:altName w:val="Chianti Win95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94" w:rsidRDefault="002E5894" w:rsidP="002E5894">
      <w:r>
        <w:separator/>
      </w:r>
    </w:p>
  </w:footnote>
  <w:footnote w:type="continuationSeparator" w:id="0">
    <w:p w:rsidR="002E5894" w:rsidRDefault="002E5894" w:rsidP="002E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04" w:rsidRDefault="002E5894">
    <w:pPr>
      <w:pStyle w:val="Cabealho"/>
      <w:jc w:val="right"/>
    </w:pPr>
  </w:p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BD6804" w:rsidTr="00BD6804">
      <w:trPr>
        <w:cantSplit/>
      </w:trPr>
      <w:tc>
        <w:tcPr>
          <w:tcW w:w="777" w:type="dxa"/>
          <w:vAlign w:val="center"/>
          <w:hideMark/>
        </w:tcPr>
        <w:p w:rsidR="00BD6804" w:rsidRDefault="002E5894">
          <w:pPr>
            <w:pStyle w:val="Cabealho"/>
          </w:pPr>
          <w:r>
            <w:rPr>
              <w:noProof/>
            </w:rPr>
            <w:drawing>
              <wp:inline distT="0" distB="0" distL="0" distR="0" wp14:anchorId="0536487D" wp14:editId="0E879B63">
                <wp:extent cx="438150" cy="523875"/>
                <wp:effectExtent l="0" t="0" r="0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8" w:type="dxa"/>
          <w:vAlign w:val="center"/>
          <w:hideMark/>
        </w:tcPr>
        <w:p w:rsidR="00BD6804" w:rsidRPr="00CA16B7" w:rsidRDefault="002E5894" w:rsidP="002E5894">
          <w:pPr>
            <w:pStyle w:val="Cabealho"/>
            <w:rPr>
              <w:rFonts w:ascii="Arial" w:hAnsi="Arial" w:cs="Arial"/>
              <w:b/>
            </w:rPr>
          </w:pPr>
          <w:r w:rsidRPr="00CA16B7">
            <w:rPr>
              <w:rFonts w:ascii="Arial" w:hAnsi="Arial" w:cs="Arial"/>
              <w:b/>
            </w:rPr>
            <w:t>ESTADO DE SANTA CATARINA</w:t>
          </w:r>
        </w:p>
      </w:tc>
    </w:tr>
  </w:tbl>
  <w:p w:rsidR="00C03618" w:rsidRDefault="002E58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110403"/>
      <w:docPartObj>
        <w:docPartGallery w:val="Page Numbers (Top of Page)"/>
        <w:docPartUnique/>
      </w:docPartObj>
    </w:sdtPr>
    <w:sdtEndPr/>
    <w:sdtContent>
      <w:p w:rsidR="00BD6804" w:rsidRDefault="002E589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BD6804" w:rsidTr="00BD6804">
      <w:trPr>
        <w:cantSplit/>
      </w:trPr>
      <w:tc>
        <w:tcPr>
          <w:tcW w:w="777" w:type="dxa"/>
          <w:vAlign w:val="center"/>
          <w:hideMark/>
        </w:tcPr>
        <w:p w:rsidR="00BD6804" w:rsidRDefault="002E5894">
          <w:pPr>
            <w:pStyle w:val="Cabealho"/>
          </w:pPr>
          <w:r>
            <w:rPr>
              <w:noProof/>
            </w:rPr>
            <w:drawing>
              <wp:inline distT="0" distB="0" distL="0" distR="0" wp14:anchorId="0360CC62" wp14:editId="338D6D8C">
                <wp:extent cx="438150" cy="52387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8" w:type="dxa"/>
          <w:vAlign w:val="center"/>
          <w:hideMark/>
        </w:tcPr>
        <w:p w:rsidR="00BD6804" w:rsidRDefault="002E5894">
          <w:pPr>
            <w:pStyle w:val="Cabealho"/>
            <w:rPr>
              <w:rFonts w:cs="Arial"/>
              <w:b/>
            </w:rPr>
          </w:pPr>
          <w:r>
            <w:rPr>
              <w:rFonts w:cs="Arial"/>
              <w:b/>
            </w:rPr>
            <w:t>ESTADO DE SANTA CATARINA</w:t>
          </w:r>
        </w:p>
      </w:tc>
    </w:tr>
  </w:tbl>
  <w:p w:rsidR="003668E2" w:rsidRDefault="002E58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576713"/>
      <w:docPartObj>
        <w:docPartGallery w:val="Page Numbers (Top of Page)"/>
        <w:docPartUnique/>
      </w:docPartObj>
    </w:sdtPr>
    <w:sdtContent>
      <w:p w:rsidR="002E5894" w:rsidRDefault="002E589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2E5894" w:rsidTr="00BD6804">
      <w:trPr>
        <w:cantSplit/>
      </w:trPr>
      <w:tc>
        <w:tcPr>
          <w:tcW w:w="777" w:type="dxa"/>
          <w:vAlign w:val="center"/>
          <w:hideMark/>
        </w:tcPr>
        <w:p w:rsidR="002E5894" w:rsidRDefault="002E5894">
          <w:pPr>
            <w:pStyle w:val="Cabealho"/>
          </w:pPr>
          <w:r>
            <w:rPr>
              <w:noProof/>
            </w:rPr>
            <w:drawing>
              <wp:inline distT="0" distB="0" distL="0" distR="0" wp14:anchorId="5FC62FCA" wp14:editId="51243837">
                <wp:extent cx="438150" cy="523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8" w:type="dxa"/>
          <w:vAlign w:val="center"/>
          <w:hideMark/>
        </w:tcPr>
        <w:p w:rsidR="002E5894" w:rsidRPr="00CA16B7" w:rsidRDefault="002E5894" w:rsidP="002E5894">
          <w:pPr>
            <w:pStyle w:val="Cabealho"/>
            <w:rPr>
              <w:rFonts w:ascii="Arial" w:hAnsi="Arial" w:cs="Arial"/>
              <w:b/>
            </w:rPr>
          </w:pPr>
          <w:r w:rsidRPr="00CA16B7">
            <w:rPr>
              <w:rFonts w:ascii="Arial" w:hAnsi="Arial" w:cs="Arial"/>
              <w:b/>
            </w:rPr>
            <w:t>ESTADO DE SANTA CATARINA</w:t>
          </w:r>
        </w:p>
      </w:tc>
    </w:tr>
  </w:tbl>
  <w:p w:rsidR="002E5894" w:rsidRDefault="002E58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94"/>
    <w:rsid w:val="00075E2F"/>
    <w:rsid w:val="002E5894"/>
    <w:rsid w:val="005E2E62"/>
    <w:rsid w:val="008B1980"/>
    <w:rsid w:val="00A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CFCA7-F8AB-49A7-A8D8-A4A61476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E58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58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58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E5894"/>
    <w:pPr>
      <w:ind w:left="708"/>
    </w:pPr>
  </w:style>
  <w:style w:type="character" w:customStyle="1" w:styleId="Ttulo1Char">
    <w:name w:val="Título 1 Char"/>
    <w:basedOn w:val="Fontepargpadro"/>
    <w:link w:val="Ttulo1"/>
    <w:uiPriority w:val="9"/>
    <w:rsid w:val="002E58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2E5894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2E5894"/>
    <w:pPr>
      <w:spacing w:after="100"/>
    </w:pPr>
  </w:style>
  <w:style w:type="character" w:styleId="Hyperlink">
    <w:name w:val="Hyperlink"/>
    <w:basedOn w:val="Fontepargpadro"/>
    <w:uiPriority w:val="99"/>
    <w:unhideWhenUsed/>
    <w:rsid w:val="002E5894"/>
    <w:rPr>
      <w:color w:val="0563C1" w:themeColor="hyperlink"/>
      <w:u w:val="single"/>
    </w:rPr>
  </w:style>
  <w:style w:type="paragraph" w:customStyle="1" w:styleId="Default">
    <w:name w:val="Default"/>
    <w:uiPriority w:val="99"/>
    <w:rsid w:val="002E5894"/>
    <w:pPr>
      <w:autoSpaceDE w:val="0"/>
      <w:autoSpaceDN w:val="0"/>
      <w:adjustRightInd w:val="0"/>
      <w:spacing w:after="0" w:line="240" w:lineRule="auto"/>
    </w:pPr>
    <w:rPr>
      <w:rFonts w:ascii="Chianti Win95BT" w:eastAsia="Calibri" w:hAnsi="Chianti Win95BT" w:cs="Chianti Win95BT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E58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589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1214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Rafaeli</dc:creator>
  <cp:keywords/>
  <dc:description/>
  <cp:lastModifiedBy>Gisele Rafaeli</cp:lastModifiedBy>
  <cp:revision>1</cp:revision>
  <dcterms:created xsi:type="dcterms:W3CDTF">2018-05-24T12:49:00Z</dcterms:created>
  <dcterms:modified xsi:type="dcterms:W3CDTF">2018-05-24T12:52:00Z</dcterms:modified>
</cp:coreProperties>
</file>