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99" w:rsidRPr="008F718F" w:rsidRDefault="00315899" w:rsidP="00315899">
      <w:pPr>
        <w:spacing w:after="0" w:line="240" w:lineRule="auto"/>
        <w:rPr>
          <w:rFonts w:ascii="Century Gothic" w:hAnsi="Century Gothic" w:cs="Arial"/>
          <w:b/>
        </w:rPr>
      </w:pPr>
      <w:r w:rsidRPr="008F718F">
        <w:rPr>
          <w:rFonts w:ascii="Century Gothic" w:hAnsi="Century Gothic" w:cs="Arial"/>
          <w:b/>
        </w:rPr>
        <w:t xml:space="preserve">Informações para página: </w:t>
      </w:r>
    </w:p>
    <w:p w:rsidR="00315899" w:rsidRPr="008F718F" w:rsidRDefault="00315899" w:rsidP="00315899">
      <w:pPr>
        <w:spacing w:after="0" w:line="240" w:lineRule="auto"/>
        <w:rPr>
          <w:rFonts w:ascii="Century Gothic" w:hAnsi="Century Gothic" w:cs="Arial"/>
        </w:rPr>
      </w:pPr>
      <w:r w:rsidRPr="008F718F">
        <w:rPr>
          <w:rFonts w:ascii="Century Gothic" w:hAnsi="Century Gothic" w:cs="Arial"/>
        </w:rPr>
        <w:t>Entidade Gestora: DIAT</w:t>
      </w:r>
    </w:p>
    <w:p w:rsidR="00315899" w:rsidRPr="008F718F" w:rsidRDefault="00315899" w:rsidP="00315899">
      <w:pPr>
        <w:spacing w:after="0" w:line="240" w:lineRule="auto"/>
        <w:rPr>
          <w:rFonts w:ascii="Century Gothic" w:hAnsi="Century Gothic" w:cs="Arial"/>
        </w:rPr>
      </w:pPr>
      <w:r w:rsidRPr="008F718F">
        <w:rPr>
          <w:rFonts w:ascii="Century Gothic" w:hAnsi="Century Gothic" w:cs="Arial"/>
        </w:rPr>
        <w:t>Categoria: Comunicado</w:t>
      </w:r>
    </w:p>
    <w:p w:rsidR="00315899" w:rsidRPr="008F718F" w:rsidRDefault="00315899" w:rsidP="00315899">
      <w:pPr>
        <w:spacing w:after="0" w:line="240" w:lineRule="auto"/>
        <w:rPr>
          <w:rFonts w:ascii="Century Gothic" w:hAnsi="Century Gothic" w:cs="Arial"/>
        </w:rPr>
      </w:pPr>
      <w:r w:rsidRPr="008F718F">
        <w:rPr>
          <w:rFonts w:ascii="Century Gothic" w:hAnsi="Century Gothic" w:cs="Arial"/>
        </w:rPr>
        <w:t>Ano: 201</w:t>
      </w:r>
      <w:r>
        <w:rPr>
          <w:rFonts w:ascii="Century Gothic" w:hAnsi="Century Gothic" w:cs="Arial"/>
        </w:rPr>
        <w:t>7</w:t>
      </w:r>
    </w:p>
    <w:p w:rsidR="00315899" w:rsidRPr="008F7EDA" w:rsidRDefault="00315899" w:rsidP="00315899">
      <w:pPr>
        <w:spacing w:after="0" w:line="240" w:lineRule="auto"/>
        <w:rPr>
          <w:rFonts w:ascii="Century Gothic" w:hAnsi="Century Gothic" w:cs="Arial"/>
        </w:rPr>
      </w:pPr>
      <w:r w:rsidRPr="008F7EDA">
        <w:rPr>
          <w:rFonts w:ascii="Century Gothic" w:hAnsi="Century Gothic" w:cs="Arial"/>
        </w:rPr>
        <w:t xml:space="preserve">Número: SAT </w:t>
      </w:r>
      <w:r>
        <w:rPr>
          <w:rFonts w:ascii="Century Gothic" w:hAnsi="Century Gothic" w:cs="Arial"/>
        </w:rPr>
        <w:t>01</w:t>
      </w:r>
      <w:r w:rsidRPr="008F7EDA">
        <w:rPr>
          <w:rFonts w:ascii="Century Gothic" w:hAnsi="Century Gothic" w:cs="Arial"/>
        </w:rPr>
        <w:t xml:space="preserve"> </w:t>
      </w:r>
      <w:r>
        <w:rPr>
          <w:rFonts w:ascii="Century Gothic" w:hAnsi="Century Gothic" w:cs="Arial"/>
        </w:rPr>
        <w:t>08</w:t>
      </w:r>
      <w:r w:rsidRPr="008F7EDA">
        <w:rPr>
          <w:rFonts w:ascii="Century Gothic" w:hAnsi="Century Gothic" w:cs="Arial"/>
        </w:rPr>
        <w:t>/</w:t>
      </w:r>
      <w:r>
        <w:rPr>
          <w:rFonts w:ascii="Century Gothic" w:hAnsi="Century Gothic" w:cs="Arial"/>
        </w:rPr>
        <w:t>03</w:t>
      </w:r>
    </w:p>
    <w:p w:rsidR="00315899" w:rsidRPr="008F7EDA" w:rsidRDefault="00315899" w:rsidP="00315899">
      <w:pPr>
        <w:spacing w:after="0" w:line="240" w:lineRule="auto"/>
        <w:jc w:val="both"/>
        <w:rPr>
          <w:rFonts w:ascii="Century Gothic" w:hAnsi="Century Gothic" w:cs="Arial"/>
          <w:b/>
          <w:sz w:val="28"/>
          <w:szCs w:val="28"/>
        </w:rPr>
      </w:pPr>
      <w:r w:rsidRPr="008F7EDA">
        <w:rPr>
          <w:rFonts w:ascii="Century Gothic" w:hAnsi="Century Gothic" w:cs="Arial"/>
        </w:rPr>
        <w:t xml:space="preserve">Título: </w:t>
      </w:r>
      <w:r w:rsidRPr="00315899">
        <w:rPr>
          <w:rFonts w:ascii="Century Gothic" w:hAnsi="Century Gothic" w:cs="Arial"/>
        </w:rPr>
        <w:t xml:space="preserve">Definições sobre a Apuração em Separado do ICMS Referente às Saídas Contempladas com Crédito Presumido em Substituição aos Créditos pela Entrada </w:t>
      </w:r>
      <w:r w:rsidRPr="008F7EDA">
        <w:rPr>
          <w:rFonts w:ascii="Century Gothic" w:hAnsi="Century Gothic" w:cs="Arial"/>
          <w:b/>
        </w:rPr>
        <w:t>(</w:t>
      </w:r>
      <w:proofErr w:type="gramStart"/>
      <w:r w:rsidRPr="008F7EDA">
        <w:rPr>
          <w:rFonts w:ascii="Century Gothic" w:hAnsi="Century Gothic" w:cs="Arial"/>
          <w:b/>
        </w:rPr>
        <w:t>deletar</w:t>
      </w:r>
      <w:proofErr w:type="gramEnd"/>
      <w:r w:rsidRPr="008F7EDA">
        <w:rPr>
          <w:rFonts w:ascii="Century Gothic" w:hAnsi="Century Gothic" w:cs="Arial"/>
          <w:b/>
        </w:rPr>
        <w:t xml:space="preserve"> após copiar)</w:t>
      </w:r>
    </w:p>
    <w:p w:rsidR="00315899" w:rsidRDefault="00315899" w:rsidP="00315899">
      <w:pPr>
        <w:spacing w:after="0" w:line="240" w:lineRule="auto"/>
        <w:jc w:val="both"/>
        <w:rPr>
          <w:rFonts w:ascii="Times New Roman" w:hAnsi="Times New Roman"/>
          <w:b/>
          <w:sz w:val="28"/>
          <w:szCs w:val="28"/>
        </w:rPr>
      </w:pPr>
    </w:p>
    <w:p w:rsidR="00315899" w:rsidRDefault="00315899" w:rsidP="006A329C">
      <w:pPr>
        <w:spacing w:after="0" w:line="240" w:lineRule="auto"/>
        <w:jc w:val="both"/>
        <w:rPr>
          <w:rFonts w:ascii="Times New Roman" w:hAnsi="Times New Roman"/>
          <w:b/>
          <w:sz w:val="28"/>
          <w:szCs w:val="28"/>
        </w:rPr>
      </w:pPr>
    </w:p>
    <w:p w:rsidR="006A329C" w:rsidRPr="00A10CE0" w:rsidRDefault="006A329C" w:rsidP="006A329C">
      <w:pPr>
        <w:spacing w:after="0" w:line="240" w:lineRule="auto"/>
        <w:jc w:val="both"/>
        <w:rPr>
          <w:rFonts w:ascii="Times New Roman" w:hAnsi="Times New Roman"/>
          <w:b/>
          <w:sz w:val="28"/>
          <w:szCs w:val="28"/>
        </w:rPr>
      </w:pPr>
      <w:r w:rsidRPr="00A10CE0">
        <w:rPr>
          <w:rFonts w:ascii="Times New Roman" w:hAnsi="Times New Roman"/>
          <w:b/>
          <w:sz w:val="28"/>
          <w:szCs w:val="28"/>
        </w:rPr>
        <w:t>COM0</w:t>
      </w:r>
      <w:r>
        <w:rPr>
          <w:rFonts w:ascii="Times New Roman" w:hAnsi="Times New Roman"/>
          <w:b/>
          <w:sz w:val="28"/>
          <w:szCs w:val="28"/>
        </w:rPr>
        <w:t>1</w:t>
      </w:r>
      <w:r w:rsidRPr="00A10CE0">
        <w:rPr>
          <w:rFonts w:ascii="Times New Roman" w:hAnsi="Times New Roman"/>
          <w:b/>
          <w:sz w:val="28"/>
          <w:szCs w:val="28"/>
        </w:rPr>
        <w:t xml:space="preserve"> - </w:t>
      </w:r>
      <w:r>
        <w:rPr>
          <w:rFonts w:ascii="Times New Roman" w:hAnsi="Times New Roman"/>
          <w:b/>
          <w:sz w:val="28"/>
          <w:szCs w:val="28"/>
        </w:rPr>
        <w:t>08</w:t>
      </w:r>
      <w:r w:rsidRPr="00A10CE0">
        <w:rPr>
          <w:rFonts w:ascii="Times New Roman" w:hAnsi="Times New Roman"/>
          <w:b/>
          <w:sz w:val="28"/>
          <w:szCs w:val="28"/>
        </w:rPr>
        <w:t>/</w:t>
      </w:r>
      <w:r>
        <w:rPr>
          <w:rFonts w:ascii="Times New Roman" w:hAnsi="Times New Roman"/>
          <w:b/>
          <w:sz w:val="28"/>
          <w:szCs w:val="28"/>
        </w:rPr>
        <w:t>03</w:t>
      </w:r>
      <w:r w:rsidRPr="00A10CE0">
        <w:rPr>
          <w:rFonts w:ascii="Times New Roman" w:hAnsi="Times New Roman"/>
          <w:b/>
          <w:sz w:val="28"/>
          <w:szCs w:val="28"/>
        </w:rPr>
        <w:t>/201</w:t>
      </w:r>
      <w:r>
        <w:rPr>
          <w:rFonts w:ascii="Times New Roman" w:hAnsi="Times New Roman"/>
          <w:b/>
          <w:sz w:val="28"/>
          <w:szCs w:val="28"/>
        </w:rPr>
        <w:t>7</w:t>
      </w:r>
      <w:r w:rsidRPr="00A10CE0">
        <w:rPr>
          <w:rFonts w:ascii="Times New Roman" w:hAnsi="Times New Roman"/>
          <w:b/>
          <w:sz w:val="28"/>
          <w:szCs w:val="28"/>
        </w:rPr>
        <w:t xml:space="preserve"> </w:t>
      </w:r>
      <w:r>
        <w:rPr>
          <w:rFonts w:ascii="Times New Roman" w:hAnsi="Times New Roman"/>
          <w:b/>
          <w:sz w:val="28"/>
          <w:szCs w:val="28"/>
        </w:rPr>
        <w:t>-</w:t>
      </w:r>
      <w:r w:rsidRPr="00A10CE0">
        <w:rPr>
          <w:rFonts w:ascii="Times New Roman" w:hAnsi="Times New Roman"/>
          <w:b/>
          <w:sz w:val="28"/>
          <w:szCs w:val="28"/>
        </w:rPr>
        <w:t xml:space="preserve"> DEFINIÇÕES SOBRE A </w:t>
      </w:r>
      <w:r>
        <w:rPr>
          <w:rFonts w:ascii="Times New Roman" w:hAnsi="Times New Roman"/>
          <w:b/>
          <w:sz w:val="28"/>
          <w:szCs w:val="28"/>
        </w:rPr>
        <w:t>APURAÇÃO EM SEPARADO DO ICMS REFERENTE ÀS SAÍDAS CONTEMPLADAS COM CRÉDITO PRESUMIDO EM SUBSTITUIÇÃO AOS CRÉDITOS PELA ENTRADA</w:t>
      </w:r>
    </w:p>
    <w:p w:rsidR="006A329C" w:rsidRDefault="006A329C" w:rsidP="006A329C">
      <w:pPr>
        <w:spacing w:after="0" w:line="240" w:lineRule="auto"/>
        <w:jc w:val="both"/>
        <w:rPr>
          <w:rFonts w:ascii="Times New Roman" w:hAnsi="Times New Roman"/>
          <w:sz w:val="24"/>
          <w:szCs w:val="24"/>
        </w:rPr>
      </w:pPr>
    </w:p>
    <w:p w:rsidR="006A329C" w:rsidRDefault="006A329C" w:rsidP="006A329C">
      <w:pPr>
        <w:spacing w:after="0" w:line="240" w:lineRule="auto"/>
        <w:jc w:val="both"/>
        <w:rPr>
          <w:rFonts w:ascii="Times New Roman" w:eastAsia="Times New Roman" w:hAnsi="Times New Roman"/>
          <w:sz w:val="24"/>
          <w:szCs w:val="24"/>
          <w:lang w:eastAsia="pt-BR"/>
        </w:rPr>
      </w:pPr>
      <w:r w:rsidRPr="009355C5">
        <w:rPr>
          <w:rFonts w:ascii="Times New Roman" w:eastAsia="Times New Roman" w:hAnsi="Times New Roman"/>
          <w:sz w:val="24"/>
          <w:szCs w:val="24"/>
          <w:lang w:eastAsia="pt-BR"/>
        </w:rPr>
        <w:t xml:space="preserve">Com a entrada em vigor </w:t>
      </w:r>
      <w:r w:rsidRPr="00992DCA">
        <w:rPr>
          <w:rFonts w:ascii="Times New Roman" w:eastAsia="Times New Roman" w:hAnsi="Times New Roman"/>
          <w:sz w:val="24"/>
          <w:szCs w:val="24"/>
          <w:lang w:eastAsia="pt-BR"/>
        </w:rPr>
        <w:t xml:space="preserve">a partir de 1º de abril de 2017, </w:t>
      </w:r>
      <w:r w:rsidRPr="009355C5">
        <w:rPr>
          <w:rFonts w:ascii="Times New Roman" w:eastAsia="Times New Roman" w:hAnsi="Times New Roman"/>
          <w:sz w:val="24"/>
          <w:szCs w:val="24"/>
          <w:lang w:eastAsia="pt-BR"/>
        </w:rPr>
        <w:t xml:space="preserve">da </w:t>
      </w:r>
      <w:r>
        <w:rPr>
          <w:rFonts w:ascii="Times New Roman" w:eastAsia="Times New Roman" w:hAnsi="Times New Roman"/>
          <w:sz w:val="24"/>
          <w:szCs w:val="24"/>
          <w:lang w:eastAsia="pt-BR"/>
        </w:rPr>
        <w:t xml:space="preserve">Alteração </w:t>
      </w:r>
      <w:bookmarkStart w:id="0" w:name="alt_3773"/>
      <w:r w:rsidRPr="00992DCA">
        <w:rPr>
          <w:rFonts w:ascii="Times New Roman" w:eastAsia="Times New Roman" w:hAnsi="Times New Roman"/>
          <w:sz w:val="24"/>
          <w:szCs w:val="24"/>
          <w:lang w:eastAsia="pt-BR"/>
        </w:rPr>
        <w:t>3.773</w:t>
      </w:r>
      <w:bookmarkEnd w:id="0"/>
      <w:r w:rsidRPr="00992DCA">
        <w:rPr>
          <w:rFonts w:ascii="Times New Roman" w:eastAsia="Times New Roman" w:hAnsi="Times New Roman"/>
          <w:sz w:val="24"/>
          <w:szCs w:val="24"/>
          <w:lang w:eastAsia="pt-BR"/>
        </w:rPr>
        <w:t>, introduzida pelo Decreto nº 1.019, de 21/12/2016, modific</w:t>
      </w:r>
      <w:r>
        <w:rPr>
          <w:rFonts w:ascii="Times New Roman" w:eastAsia="Times New Roman" w:hAnsi="Times New Roman"/>
          <w:sz w:val="24"/>
          <w:szCs w:val="24"/>
          <w:lang w:eastAsia="pt-BR"/>
        </w:rPr>
        <w:t>ando</w:t>
      </w:r>
      <w:r w:rsidRPr="00992DCA">
        <w:rPr>
          <w:rFonts w:ascii="Times New Roman" w:eastAsia="Times New Roman" w:hAnsi="Times New Roman"/>
          <w:sz w:val="24"/>
          <w:szCs w:val="24"/>
          <w:lang w:eastAsia="pt-BR"/>
        </w:rPr>
        <w:t xml:space="preserve"> disposições do art. 23 do Anexo </w:t>
      </w:r>
      <w:proofErr w:type="gramStart"/>
      <w:r w:rsidRPr="00992DCA">
        <w:rPr>
          <w:rFonts w:ascii="Times New Roman" w:eastAsia="Times New Roman" w:hAnsi="Times New Roman"/>
          <w:sz w:val="24"/>
          <w:szCs w:val="24"/>
          <w:lang w:eastAsia="pt-BR"/>
        </w:rPr>
        <w:t>2</w:t>
      </w:r>
      <w:proofErr w:type="gramEnd"/>
      <w:r w:rsidRPr="00992DCA">
        <w:rPr>
          <w:rFonts w:ascii="Times New Roman" w:eastAsia="Times New Roman" w:hAnsi="Times New Roman"/>
          <w:sz w:val="24"/>
          <w:szCs w:val="24"/>
          <w:lang w:eastAsia="pt-BR"/>
        </w:rPr>
        <w:t xml:space="preserve"> do RICMS-SC/01, </w:t>
      </w:r>
      <w:r>
        <w:rPr>
          <w:rFonts w:ascii="Times New Roman" w:eastAsia="Times New Roman" w:hAnsi="Times New Roman"/>
          <w:sz w:val="24"/>
          <w:szCs w:val="24"/>
          <w:lang w:eastAsia="pt-BR"/>
        </w:rPr>
        <w:t xml:space="preserve">o </w:t>
      </w:r>
      <w:r w:rsidRPr="00992DCA">
        <w:rPr>
          <w:rFonts w:ascii="Times New Roman" w:eastAsia="Times New Roman" w:hAnsi="Times New Roman"/>
          <w:sz w:val="24"/>
          <w:szCs w:val="24"/>
          <w:lang w:eastAsia="pt-BR"/>
        </w:rPr>
        <w:t xml:space="preserve">contribuinte </w:t>
      </w:r>
      <w:r>
        <w:rPr>
          <w:rFonts w:ascii="Times New Roman" w:eastAsia="Times New Roman" w:hAnsi="Times New Roman"/>
          <w:sz w:val="24"/>
          <w:szCs w:val="24"/>
          <w:lang w:eastAsia="pt-BR"/>
        </w:rPr>
        <w:t>que optar pelo</w:t>
      </w:r>
      <w:r w:rsidRPr="00992DCA">
        <w:rPr>
          <w:rFonts w:ascii="Times New Roman" w:eastAsia="Times New Roman" w:hAnsi="Times New Roman"/>
          <w:sz w:val="24"/>
          <w:szCs w:val="24"/>
          <w:lang w:eastAsia="pt-BR"/>
        </w:rPr>
        <w:t xml:space="preserve"> crédito presumido em substituição ao créditos pela</w:t>
      </w:r>
      <w:r>
        <w:rPr>
          <w:rFonts w:ascii="Times New Roman" w:eastAsia="Times New Roman" w:hAnsi="Times New Roman"/>
          <w:sz w:val="24"/>
          <w:szCs w:val="24"/>
          <w:lang w:eastAsia="pt-BR"/>
        </w:rPr>
        <w:t xml:space="preserve">s entradas, deverá obrigatoriamente apurar e recolher separadamente o imposto </w:t>
      </w:r>
      <w:r w:rsidRPr="00992DCA">
        <w:rPr>
          <w:rFonts w:ascii="Times New Roman" w:eastAsia="Times New Roman" w:hAnsi="Times New Roman"/>
          <w:sz w:val="24"/>
          <w:szCs w:val="24"/>
          <w:lang w:eastAsia="pt-BR"/>
        </w:rPr>
        <w:t>resultante</w:t>
      </w:r>
      <w:r>
        <w:rPr>
          <w:rFonts w:ascii="Times New Roman" w:eastAsia="Times New Roman" w:hAnsi="Times New Roman"/>
          <w:sz w:val="24"/>
          <w:szCs w:val="24"/>
          <w:lang w:eastAsia="pt-BR"/>
        </w:rPr>
        <w:t xml:space="preserve"> pela utilização do benefício.</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débito do imposto resultante da apuração em separado será obrigatoriamente recolhido, não</w:t>
      </w:r>
      <w:r w:rsidRPr="00967AF8">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podendo ser compensado com créditos ou saldo credor existente em conta gráfica, relativos às demais operações ou prestações não alcançadas pelo crédito presumido.</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Pr="00967AF8" w:rsidRDefault="006A329C" w:rsidP="006A329C">
      <w:pPr>
        <w:spacing w:after="0" w:line="240" w:lineRule="auto"/>
        <w:jc w:val="both"/>
        <w:rPr>
          <w:rFonts w:ascii="Times New Roman" w:eastAsia="Times New Roman" w:hAnsi="Times New Roman"/>
          <w:b/>
          <w:sz w:val="24"/>
          <w:szCs w:val="24"/>
          <w:lang w:eastAsia="pt-BR"/>
        </w:rPr>
      </w:pPr>
      <w:r>
        <w:rPr>
          <w:rFonts w:ascii="Times New Roman" w:eastAsia="Times New Roman" w:hAnsi="Times New Roman"/>
          <w:sz w:val="24"/>
          <w:szCs w:val="24"/>
          <w:lang w:eastAsia="pt-BR"/>
        </w:rPr>
        <w:t>Poderá ser compensado, com débito resultante da apuração em separado, o pagamento antecipado do ICMS recolhido com o Código de Receita 1759, incidente na saída subsequente à importação, quando a operação for alcançada pelo crédito presumido.</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Para controlar a apuração em separado deste débito do imposto a Secretaria de Estado da Fazenda está procedendo as seguintes adequações no:</w:t>
      </w:r>
    </w:p>
    <w:p w:rsidR="006A329C" w:rsidRPr="00992DCA"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sidRPr="00082C17">
        <w:rPr>
          <w:rFonts w:ascii="Times New Roman" w:eastAsia="Times New Roman" w:hAnsi="Times New Roman"/>
          <w:b/>
          <w:sz w:val="24"/>
          <w:szCs w:val="24"/>
          <w:lang w:eastAsia="pt-BR"/>
        </w:rPr>
        <w:t>1 - layout e Manual da DIME (Portaria SEF nº 153/12)</w:t>
      </w:r>
      <w:r w:rsidR="00D34FF0">
        <w:rPr>
          <w:rFonts w:ascii="Times New Roman" w:eastAsia="Times New Roman" w:hAnsi="Times New Roman"/>
          <w:b/>
          <w:sz w:val="24"/>
          <w:szCs w:val="24"/>
          <w:lang w:eastAsia="pt-BR"/>
        </w:rPr>
        <w:t xml:space="preserve"> introduzido pela Portaria SEF nº 070, de 03/03/17</w:t>
      </w:r>
      <w:r w:rsidRPr="00082C17">
        <w:rPr>
          <w:rFonts w:ascii="Times New Roman" w:eastAsia="Times New Roman" w:hAnsi="Times New Roman"/>
          <w:b/>
          <w:sz w:val="24"/>
          <w:szCs w:val="24"/>
          <w:lang w:eastAsia="pt-BR"/>
        </w:rPr>
        <w:t>,</w:t>
      </w:r>
      <w:r>
        <w:rPr>
          <w:rFonts w:ascii="Times New Roman" w:eastAsia="Times New Roman" w:hAnsi="Times New Roman"/>
          <w:sz w:val="24"/>
          <w:szCs w:val="24"/>
          <w:lang w:eastAsia="pt-BR"/>
        </w:rPr>
        <w:t xml:space="preserve"> com as </w:t>
      </w:r>
      <w:proofErr w:type="gramStart"/>
      <w:r>
        <w:rPr>
          <w:rFonts w:ascii="Times New Roman" w:eastAsia="Times New Roman" w:hAnsi="Times New Roman"/>
          <w:sz w:val="24"/>
          <w:szCs w:val="24"/>
          <w:lang w:eastAsia="pt-BR"/>
        </w:rPr>
        <w:t>implementação</w:t>
      </w:r>
      <w:proofErr w:type="gramEnd"/>
      <w:r>
        <w:rPr>
          <w:rFonts w:ascii="Times New Roman" w:eastAsia="Times New Roman" w:hAnsi="Times New Roman"/>
          <w:sz w:val="24"/>
          <w:szCs w:val="24"/>
          <w:lang w:eastAsia="pt-BR"/>
        </w:rPr>
        <w:t xml:space="preserve"> das seguintes modificações:</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sidRPr="00082C17">
        <w:rPr>
          <w:rFonts w:ascii="Times New Roman" w:eastAsia="Times New Roman" w:hAnsi="Times New Roman"/>
          <w:b/>
          <w:sz w:val="24"/>
          <w:szCs w:val="24"/>
          <w:lang w:eastAsia="pt-BR"/>
        </w:rPr>
        <w:t xml:space="preserve">1.1 - no Quadro 04, incluindo </w:t>
      </w:r>
      <w:r>
        <w:rPr>
          <w:rFonts w:ascii="Times New Roman" w:eastAsia="Times New Roman" w:hAnsi="Times New Roman"/>
          <w:b/>
          <w:sz w:val="24"/>
          <w:szCs w:val="24"/>
          <w:lang w:eastAsia="pt-BR"/>
        </w:rPr>
        <w:t xml:space="preserve">o </w:t>
      </w:r>
      <w:r w:rsidRPr="00082C17">
        <w:rPr>
          <w:rFonts w:ascii="Times New Roman" w:eastAsia="Times New Roman" w:hAnsi="Times New Roman"/>
          <w:b/>
          <w:sz w:val="24"/>
          <w:szCs w:val="24"/>
          <w:lang w:eastAsia="pt-BR"/>
        </w:rPr>
        <w:t>item 065</w:t>
      </w:r>
      <w:r>
        <w:rPr>
          <w:rFonts w:ascii="Times New Roman" w:eastAsia="Times New Roman" w:hAnsi="Times New Roman"/>
          <w:b/>
          <w:sz w:val="24"/>
          <w:szCs w:val="24"/>
          <w:lang w:eastAsia="pt-BR"/>
        </w:rPr>
        <w:t>,</w:t>
      </w:r>
      <w:r>
        <w:rPr>
          <w:rFonts w:ascii="Times New Roman" w:eastAsia="Times New Roman" w:hAnsi="Times New Roman"/>
          <w:sz w:val="24"/>
          <w:szCs w:val="24"/>
          <w:lang w:eastAsia="pt-BR"/>
        </w:rPr>
        <w:t xml:space="preserve"> para destacar o lançamento do estorno de crédito obrigatório previsto </w:t>
      </w:r>
      <w:r w:rsidRPr="00455FEA">
        <w:rPr>
          <w:rFonts w:ascii="Times New Roman" w:eastAsia="Times New Roman" w:hAnsi="Times New Roman"/>
          <w:sz w:val="24"/>
          <w:szCs w:val="24"/>
          <w:lang w:eastAsia="pt-BR"/>
        </w:rPr>
        <w:t xml:space="preserve">no inciso III do art. 23, do Anexo </w:t>
      </w:r>
      <w:proofErr w:type="gramStart"/>
      <w:r w:rsidRPr="00455FEA">
        <w:rPr>
          <w:rFonts w:ascii="Times New Roman" w:eastAsia="Times New Roman" w:hAnsi="Times New Roman"/>
          <w:sz w:val="24"/>
          <w:szCs w:val="24"/>
          <w:lang w:eastAsia="pt-BR"/>
        </w:rPr>
        <w:t>2</w:t>
      </w:r>
      <w:proofErr w:type="gramEnd"/>
      <w:r w:rsidRPr="00455FEA">
        <w:rPr>
          <w:rFonts w:ascii="Times New Roman" w:eastAsia="Times New Roman" w:hAnsi="Times New Roman"/>
          <w:sz w:val="24"/>
          <w:szCs w:val="24"/>
          <w:lang w:eastAsia="pt-BR"/>
        </w:rPr>
        <w:t xml:space="preserve"> do RICMS-SC/01</w:t>
      </w:r>
      <w:r>
        <w:rPr>
          <w:rFonts w:ascii="Times New Roman" w:eastAsia="Times New Roman" w:hAnsi="Times New Roman"/>
          <w:sz w:val="24"/>
          <w:szCs w:val="24"/>
          <w:lang w:eastAsia="pt-BR"/>
        </w:rPr>
        <w:t>:</w:t>
      </w:r>
    </w:p>
    <w:p w:rsidR="006A329C" w:rsidRDefault="006A329C" w:rsidP="006A329C">
      <w:pPr>
        <w:spacing w:after="0" w:line="240" w:lineRule="auto"/>
        <w:jc w:val="both"/>
        <w:rPr>
          <w:rFonts w:ascii="Times New Roman" w:eastAsia="Times New Roman" w:hAnsi="Times New Roman"/>
          <w:sz w:val="24"/>
          <w:szCs w:val="24"/>
          <w:lang w:eastAsia="pt-BR"/>
        </w:rPr>
      </w:pPr>
    </w:p>
    <w:tbl>
      <w:tblPr>
        <w:tblStyle w:val="Tabelacomgrade"/>
        <w:tblW w:w="0" w:type="auto"/>
        <w:tblLayout w:type="fixed"/>
        <w:tblLook w:val="04A0" w:firstRow="1" w:lastRow="0" w:firstColumn="1" w:lastColumn="0" w:noHBand="0" w:noVBand="1"/>
      </w:tblPr>
      <w:tblGrid>
        <w:gridCol w:w="663"/>
        <w:gridCol w:w="8801"/>
      </w:tblGrid>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Pr>
                <w:b/>
              </w:rPr>
              <w:t>065</w:t>
            </w:r>
          </w:p>
        </w:tc>
        <w:tc>
          <w:tcPr>
            <w:tcW w:w="8801"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sidRPr="001A3834">
              <w:rPr>
                <w:b/>
              </w:rPr>
              <w:t>Estorno de crédito da entrada em decorrência da utilização de crédito presumido</w:t>
            </w:r>
          </w:p>
        </w:tc>
      </w:tr>
      <w:tr w:rsidR="006A329C" w:rsidRPr="0061061F" w:rsidTr="005907C7">
        <w:tc>
          <w:tcPr>
            <w:tcW w:w="9464" w:type="dxa"/>
            <w:gridSpan w:val="2"/>
            <w:tcBorders>
              <w:top w:val="single" w:sz="4" w:space="0" w:color="auto"/>
              <w:left w:val="single" w:sz="4" w:space="0" w:color="auto"/>
              <w:bottom w:val="single" w:sz="4" w:space="0" w:color="auto"/>
              <w:right w:val="single" w:sz="4" w:space="0" w:color="auto"/>
            </w:tcBorders>
            <w:hideMark/>
          </w:tcPr>
          <w:p w:rsidR="006A329C" w:rsidRPr="0061061F" w:rsidRDefault="006A329C" w:rsidP="005907C7">
            <w:pPr>
              <w:jc w:val="both"/>
              <w:rPr>
                <w:sz w:val="20"/>
                <w:szCs w:val="20"/>
              </w:rPr>
            </w:pPr>
            <w:r w:rsidRPr="0061061F">
              <w:rPr>
                <w:sz w:val="20"/>
                <w:szCs w:val="20"/>
              </w:rPr>
              <w:t>Preencher com o valor do estorno do crédito do imposto relativo à entrada de mercadoria adquirida para fins de comercialização ou industrialização cuja saída for contemplada com crédito presumido</w:t>
            </w:r>
            <w:r>
              <w:rPr>
                <w:sz w:val="20"/>
                <w:szCs w:val="20"/>
              </w:rPr>
              <w:t>.</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sidRPr="00952252">
        <w:rPr>
          <w:rFonts w:ascii="Times New Roman" w:eastAsia="Times New Roman" w:hAnsi="Times New Roman"/>
          <w:b/>
          <w:sz w:val="24"/>
          <w:szCs w:val="24"/>
          <w:lang w:eastAsia="pt-BR"/>
        </w:rPr>
        <w:t>1.2 - no Quadro 09, a inclusão dos itens 036, 037 e 076,</w:t>
      </w:r>
      <w:r>
        <w:rPr>
          <w:rFonts w:ascii="Times New Roman" w:eastAsia="Times New Roman" w:hAnsi="Times New Roman"/>
          <w:sz w:val="24"/>
          <w:szCs w:val="24"/>
          <w:lang w:eastAsia="pt-BR"/>
        </w:rPr>
        <w:t xml:space="preserve"> para segregar valores que serão transferidos para o novo Quadro 14, </w:t>
      </w:r>
      <w:r w:rsidR="00821D85">
        <w:rPr>
          <w:rFonts w:ascii="Times New Roman" w:eastAsia="Times New Roman" w:hAnsi="Times New Roman"/>
          <w:sz w:val="24"/>
          <w:szCs w:val="24"/>
          <w:lang w:eastAsia="pt-BR"/>
        </w:rPr>
        <w:t>onde será</w:t>
      </w:r>
      <w:r>
        <w:rPr>
          <w:rFonts w:ascii="Times New Roman" w:eastAsia="Times New Roman" w:hAnsi="Times New Roman"/>
          <w:sz w:val="24"/>
          <w:szCs w:val="24"/>
          <w:lang w:eastAsia="pt-BR"/>
        </w:rPr>
        <w:t xml:space="preserve"> demonstra</w:t>
      </w:r>
      <w:r w:rsidR="00821D85">
        <w:rPr>
          <w:rFonts w:ascii="Times New Roman" w:eastAsia="Times New Roman" w:hAnsi="Times New Roman"/>
          <w:sz w:val="24"/>
          <w:szCs w:val="24"/>
          <w:lang w:eastAsia="pt-BR"/>
        </w:rPr>
        <w:t>da</w:t>
      </w:r>
      <w:r>
        <w:rPr>
          <w:rFonts w:ascii="Times New Roman" w:eastAsia="Times New Roman" w:hAnsi="Times New Roman"/>
          <w:sz w:val="24"/>
          <w:szCs w:val="24"/>
          <w:lang w:eastAsia="pt-BR"/>
        </w:rPr>
        <w:t xml:space="preserve"> a apuração em separado do imposto devido:</w:t>
      </w:r>
    </w:p>
    <w:p w:rsidR="006A329C" w:rsidRDefault="006A329C" w:rsidP="006A329C">
      <w:pPr>
        <w:spacing w:after="0" w:line="240" w:lineRule="auto"/>
        <w:jc w:val="both"/>
        <w:rPr>
          <w:rFonts w:ascii="Times New Roman" w:eastAsia="Times New Roman" w:hAnsi="Times New Roman"/>
          <w:sz w:val="24"/>
          <w:szCs w:val="24"/>
          <w:lang w:eastAsia="pt-BR"/>
        </w:rPr>
      </w:pPr>
    </w:p>
    <w:tbl>
      <w:tblPr>
        <w:tblStyle w:val="Tabelacomgrade"/>
        <w:tblW w:w="9464" w:type="dxa"/>
        <w:tblLayout w:type="fixed"/>
        <w:tblLook w:val="04A0" w:firstRow="1" w:lastRow="0" w:firstColumn="1" w:lastColumn="0" w:noHBand="0" w:noVBand="1"/>
      </w:tblPr>
      <w:tblGrid>
        <w:gridCol w:w="663"/>
        <w:gridCol w:w="8801"/>
      </w:tblGrid>
      <w:tr w:rsidR="006A329C" w:rsidTr="005907C7">
        <w:tc>
          <w:tcPr>
            <w:tcW w:w="663" w:type="dxa"/>
            <w:tcBorders>
              <w:top w:val="single" w:sz="4" w:space="0" w:color="auto"/>
              <w:left w:val="single" w:sz="4" w:space="0" w:color="auto"/>
              <w:bottom w:val="single" w:sz="4" w:space="0" w:color="auto"/>
              <w:right w:val="single" w:sz="4" w:space="0" w:color="auto"/>
            </w:tcBorders>
          </w:tcPr>
          <w:p w:rsidR="006A329C" w:rsidRDefault="006A329C" w:rsidP="005907C7">
            <w:pPr>
              <w:jc w:val="both"/>
            </w:pPr>
          </w:p>
        </w:tc>
        <w:tc>
          <w:tcPr>
            <w:tcW w:w="8801"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pPr>
            <w:r>
              <w:t>DÉBITO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Pr>
                <w:b/>
              </w:rPr>
              <w:t>036</w:t>
            </w:r>
          </w:p>
        </w:tc>
        <w:tc>
          <w:tcPr>
            <w:tcW w:w="8801" w:type="dxa"/>
            <w:tcBorders>
              <w:top w:val="single" w:sz="4" w:space="0" w:color="auto"/>
              <w:left w:val="single" w:sz="4" w:space="0" w:color="auto"/>
              <w:bottom w:val="single" w:sz="4" w:space="0" w:color="auto"/>
              <w:right w:val="single" w:sz="4" w:space="0" w:color="auto"/>
            </w:tcBorders>
            <w:hideMark/>
          </w:tcPr>
          <w:p w:rsidR="006A329C" w:rsidRPr="00082C17" w:rsidRDefault="006A329C" w:rsidP="005907C7">
            <w:pPr>
              <w:jc w:val="both"/>
              <w:rPr>
                <w:b/>
              </w:rPr>
            </w:pPr>
            <w:r w:rsidRPr="00082C17">
              <w:rPr>
                <w:b/>
              </w:rPr>
              <w:t>Segregação do crédito presumido utilizado em substituição aos créditos das entradas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hideMark/>
          </w:tcPr>
          <w:p w:rsidR="006A329C" w:rsidRPr="00082C17" w:rsidRDefault="006A329C" w:rsidP="005907C7">
            <w:pPr>
              <w:jc w:val="both"/>
              <w:rPr>
                <w:sz w:val="20"/>
                <w:szCs w:val="20"/>
              </w:rPr>
            </w:pPr>
            <w:r w:rsidRPr="00082C17">
              <w:rPr>
                <w:sz w:val="20"/>
                <w:szCs w:val="20"/>
              </w:rPr>
              <w:t>Preencher com o valor do crédito presumido apropriado em substituição aos créditos pelas entradas, informado no DCIP de Crédito Presumido com subtipo específico, relativas às respectivas saídas em operação ou prestação efetivamente ocorridas no período de referência da DIME.</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Pr>
                <w:b/>
              </w:rPr>
              <w:lastRenderedPageBreak/>
              <w:t>037</w:t>
            </w:r>
          </w:p>
        </w:tc>
        <w:tc>
          <w:tcPr>
            <w:tcW w:w="8801" w:type="dxa"/>
            <w:tcBorders>
              <w:top w:val="single" w:sz="4" w:space="0" w:color="auto"/>
              <w:left w:val="single" w:sz="4" w:space="0" w:color="auto"/>
              <w:bottom w:val="single" w:sz="4" w:space="0" w:color="auto"/>
              <w:right w:val="single" w:sz="4" w:space="0" w:color="auto"/>
            </w:tcBorders>
            <w:hideMark/>
          </w:tcPr>
          <w:p w:rsidR="006A329C" w:rsidRPr="00082C17" w:rsidRDefault="006A329C" w:rsidP="005907C7">
            <w:pPr>
              <w:jc w:val="both"/>
              <w:rPr>
                <w:b/>
              </w:rPr>
            </w:pPr>
            <w:r w:rsidRPr="00082C17">
              <w:rPr>
                <w:b/>
              </w:rPr>
              <w:t xml:space="preserve">Segregação do crédito decorrente do pagamento antecipado do ICMS da saída subsequente à importação, com utilização de crédito </w:t>
            </w:r>
            <w:proofErr w:type="gramStart"/>
            <w:r w:rsidRPr="00082C17">
              <w:rPr>
                <w:b/>
              </w:rPr>
              <w:t>presumido</w:t>
            </w:r>
            <w:proofErr w:type="gramEnd"/>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sz w:val="20"/>
                <w:szCs w:val="20"/>
              </w:rPr>
            </w:pPr>
            <w:r w:rsidRPr="00082C17">
              <w:rPr>
                <w:sz w:val="20"/>
                <w:szCs w:val="20"/>
              </w:rPr>
              <w:t>Preencher com o valor referente aos pagamentos antecipados do ICMS</w:t>
            </w:r>
            <w:r>
              <w:rPr>
                <w:sz w:val="20"/>
                <w:szCs w:val="20"/>
              </w:rPr>
              <w:t xml:space="preserve"> (Código de Receita 1759)</w:t>
            </w:r>
            <w:r w:rsidRPr="00082C17">
              <w:rPr>
                <w:sz w:val="20"/>
                <w:szCs w:val="20"/>
              </w:rPr>
              <w:t xml:space="preserve"> incidente na saída subsequente à importação, quando esta operação for beneficiada por crédito presumido em substituição aos créditos pelas entradas conforme informado no DCIP de Outros Créditos do subtipo 34, no período de referência da DIME.</w:t>
            </w:r>
          </w:p>
          <w:p w:rsidR="006A329C" w:rsidRDefault="006A329C" w:rsidP="005907C7">
            <w:pPr>
              <w:jc w:val="both"/>
              <w:rPr>
                <w:sz w:val="20"/>
                <w:szCs w:val="20"/>
              </w:rPr>
            </w:pPr>
          </w:p>
          <w:p w:rsidR="006A329C" w:rsidRPr="00821D85" w:rsidRDefault="006A329C" w:rsidP="005907C7">
            <w:pPr>
              <w:jc w:val="both"/>
              <w:rPr>
                <w:b/>
                <w:sz w:val="24"/>
                <w:szCs w:val="24"/>
              </w:rPr>
            </w:pPr>
            <w:r w:rsidRPr="00821D85">
              <w:rPr>
                <w:b/>
                <w:sz w:val="24"/>
                <w:szCs w:val="24"/>
              </w:rPr>
              <w:t>ATENÇÃO: os valores informados neste item e transferidos para o Quadro 14 serão utilizados exclusivamente para compensação do débito pela saída contemplada com crédito presumido (item 040 do Quadro 14), neste e em períodos de referência futuros.</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w:t>
      </w:r>
      <w:proofErr w:type="gramEnd"/>
    </w:p>
    <w:p w:rsidR="00821D85" w:rsidRDefault="00821D85" w:rsidP="006A329C">
      <w:pPr>
        <w:spacing w:after="0" w:line="240" w:lineRule="auto"/>
        <w:jc w:val="both"/>
        <w:rPr>
          <w:rFonts w:ascii="Times New Roman" w:eastAsia="Times New Roman" w:hAnsi="Times New Roman"/>
          <w:sz w:val="24"/>
          <w:szCs w:val="24"/>
          <w:lang w:eastAsia="pt-BR"/>
        </w:rPr>
      </w:pPr>
    </w:p>
    <w:tbl>
      <w:tblPr>
        <w:tblStyle w:val="Tabelacomgrade"/>
        <w:tblW w:w="0" w:type="auto"/>
        <w:tblLayout w:type="fixed"/>
        <w:tblLook w:val="04A0" w:firstRow="1" w:lastRow="0" w:firstColumn="1" w:lastColumn="0" w:noHBand="0" w:noVBand="1"/>
      </w:tblPr>
      <w:tblGrid>
        <w:gridCol w:w="663"/>
        <w:gridCol w:w="8801"/>
      </w:tblGrid>
      <w:tr w:rsidR="006A329C" w:rsidTr="005907C7">
        <w:tc>
          <w:tcPr>
            <w:tcW w:w="663" w:type="dxa"/>
            <w:tcBorders>
              <w:top w:val="single" w:sz="4" w:space="0" w:color="auto"/>
              <w:left w:val="single" w:sz="4" w:space="0" w:color="auto"/>
              <w:bottom w:val="single" w:sz="4" w:space="0" w:color="auto"/>
              <w:right w:val="single" w:sz="4" w:space="0" w:color="auto"/>
            </w:tcBorders>
          </w:tcPr>
          <w:p w:rsidR="006A329C" w:rsidRDefault="006A329C" w:rsidP="005907C7">
            <w:pPr>
              <w:jc w:val="both"/>
            </w:pPr>
          </w:p>
        </w:tc>
        <w:tc>
          <w:tcPr>
            <w:tcW w:w="8801"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pPr>
            <w:r>
              <w:t>CRÉDITO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Pr>
                <w:b/>
              </w:rPr>
              <w:t>076</w:t>
            </w:r>
          </w:p>
        </w:tc>
        <w:tc>
          <w:tcPr>
            <w:tcW w:w="8801" w:type="dxa"/>
            <w:tcBorders>
              <w:top w:val="single" w:sz="4" w:space="0" w:color="auto"/>
              <w:left w:val="single" w:sz="4" w:space="0" w:color="auto"/>
              <w:bottom w:val="single" w:sz="4" w:space="0" w:color="auto"/>
              <w:right w:val="single" w:sz="4" w:space="0" w:color="auto"/>
            </w:tcBorders>
            <w:hideMark/>
          </w:tcPr>
          <w:p w:rsidR="006A329C" w:rsidRPr="00082C17" w:rsidRDefault="006A329C" w:rsidP="005907C7">
            <w:pPr>
              <w:jc w:val="both"/>
              <w:rPr>
                <w:b/>
              </w:rPr>
            </w:pPr>
            <w:r w:rsidRPr="00082C17">
              <w:rPr>
                <w:b/>
              </w:rPr>
              <w:t>Segregação dos débitos relativos às saídas com crédito presumido em substituição aos créditos das entradas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hideMark/>
          </w:tcPr>
          <w:p w:rsidR="006A329C" w:rsidRPr="00082C17" w:rsidRDefault="006A329C" w:rsidP="005907C7">
            <w:pPr>
              <w:jc w:val="both"/>
              <w:rPr>
                <w:sz w:val="20"/>
                <w:szCs w:val="20"/>
              </w:rPr>
            </w:pPr>
            <w:r w:rsidRPr="00082C17">
              <w:rPr>
                <w:sz w:val="20"/>
                <w:szCs w:val="20"/>
              </w:rPr>
              <w:t>Preencher com o valor dos débitos das saídas beneficiadas pelo crédito presumido em substituição aos créditos pela entrada, contidos no Item 010 do Quadro 04 no período de referência da DIME.</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sidRPr="00952252">
        <w:rPr>
          <w:rFonts w:ascii="Times New Roman" w:eastAsia="Times New Roman" w:hAnsi="Times New Roman"/>
          <w:b/>
          <w:sz w:val="24"/>
          <w:szCs w:val="24"/>
          <w:lang w:eastAsia="pt-BR"/>
        </w:rPr>
        <w:t xml:space="preserve">1.3 </w:t>
      </w:r>
      <w:r>
        <w:rPr>
          <w:rFonts w:ascii="Times New Roman" w:eastAsia="Times New Roman" w:hAnsi="Times New Roman"/>
          <w:b/>
          <w:sz w:val="24"/>
          <w:szCs w:val="24"/>
          <w:lang w:eastAsia="pt-BR"/>
        </w:rPr>
        <w:t>-</w:t>
      </w:r>
      <w:r w:rsidRPr="00952252">
        <w:rPr>
          <w:rFonts w:ascii="Times New Roman" w:eastAsia="Times New Roman" w:hAnsi="Times New Roman"/>
          <w:b/>
          <w:sz w:val="24"/>
          <w:szCs w:val="24"/>
          <w:lang w:eastAsia="pt-BR"/>
        </w:rPr>
        <w:t xml:space="preserve"> acrescentar o Quadro 14,</w:t>
      </w:r>
      <w:r>
        <w:rPr>
          <w:rFonts w:ascii="Times New Roman" w:eastAsia="Times New Roman" w:hAnsi="Times New Roman"/>
          <w:sz w:val="24"/>
          <w:szCs w:val="24"/>
          <w:lang w:eastAsia="pt-BR"/>
        </w:rPr>
        <w:t xml:space="preserve"> para demonstrar a apuração do débito, separadamente, conforme disposto no inciso V, art. 23, do Anexo </w:t>
      </w:r>
      <w:proofErr w:type="gramStart"/>
      <w:r>
        <w:rPr>
          <w:rFonts w:ascii="Times New Roman" w:eastAsia="Times New Roman" w:hAnsi="Times New Roman"/>
          <w:sz w:val="24"/>
          <w:szCs w:val="24"/>
          <w:lang w:eastAsia="pt-BR"/>
        </w:rPr>
        <w:t>2</w:t>
      </w:r>
      <w:proofErr w:type="gramEnd"/>
      <w:r>
        <w:rPr>
          <w:rFonts w:ascii="Times New Roman" w:eastAsia="Times New Roman" w:hAnsi="Times New Roman"/>
          <w:sz w:val="24"/>
          <w:szCs w:val="24"/>
          <w:lang w:eastAsia="pt-BR"/>
        </w:rPr>
        <w:t xml:space="preserve"> do RICMS-01/SC:</w:t>
      </w:r>
    </w:p>
    <w:p w:rsidR="006A329C" w:rsidRDefault="006A329C" w:rsidP="006A329C">
      <w:pPr>
        <w:spacing w:after="0" w:line="240" w:lineRule="auto"/>
        <w:jc w:val="both"/>
        <w:rPr>
          <w:rFonts w:ascii="Times New Roman" w:eastAsia="Times New Roman" w:hAnsi="Times New Roman"/>
          <w:sz w:val="24"/>
          <w:szCs w:val="24"/>
          <w:lang w:eastAsia="pt-BR"/>
        </w:rPr>
      </w:pPr>
      <w:r w:rsidRPr="00904754">
        <w:rPr>
          <w:rFonts w:ascii="Times New Roman" w:eastAsia="Times New Roman" w:hAnsi="Times New Roman"/>
          <w:sz w:val="24"/>
          <w:szCs w:val="24"/>
          <w:lang w:eastAsia="pt-BR"/>
        </w:rPr>
        <w:t xml:space="preserve">Deve ser preenchido </w:t>
      </w:r>
      <w:r>
        <w:rPr>
          <w:rFonts w:ascii="Times New Roman" w:eastAsia="Times New Roman" w:hAnsi="Times New Roman"/>
          <w:sz w:val="24"/>
          <w:szCs w:val="24"/>
          <w:lang w:eastAsia="pt-BR"/>
        </w:rPr>
        <w:t>por todo</w:t>
      </w:r>
      <w:r w:rsidRPr="00904754">
        <w:rPr>
          <w:rFonts w:ascii="Times New Roman" w:eastAsia="Times New Roman" w:hAnsi="Times New Roman"/>
          <w:sz w:val="24"/>
          <w:szCs w:val="24"/>
          <w:lang w:eastAsia="pt-BR"/>
        </w:rPr>
        <w:t xml:space="preserve"> contribuinte que </w:t>
      </w:r>
      <w:r>
        <w:rPr>
          <w:rFonts w:ascii="Times New Roman" w:eastAsia="Times New Roman" w:hAnsi="Times New Roman"/>
          <w:sz w:val="24"/>
          <w:szCs w:val="24"/>
          <w:lang w:eastAsia="pt-BR"/>
        </w:rPr>
        <w:t>optar pelo</w:t>
      </w:r>
      <w:r w:rsidRPr="00904754">
        <w:rPr>
          <w:rFonts w:ascii="Times New Roman" w:eastAsia="Times New Roman" w:hAnsi="Times New Roman"/>
          <w:sz w:val="24"/>
          <w:szCs w:val="24"/>
          <w:lang w:eastAsia="pt-BR"/>
        </w:rPr>
        <w:t xml:space="preserve"> crédito presumido</w:t>
      </w:r>
      <w:r>
        <w:rPr>
          <w:rFonts w:ascii="Times New Roman" w:eastAsia="Times New Roman" w:hAnsi="Times New Roman"/>
          <w:sz w:val="24"/>
          <w:szCs w:val="24"/>
          <w:lang w:eastAsia="pt-BR"/>
        </w:rPr>
        <w:t xml:space="preserve"> em substituição aos créditos pela entrada</w:t>
      </w:r>
      <w:r w:rsidRPr="00904754">
        <w:rPr>
          <w:rFonts w:ascii="Times New Roman" w:eastAsia="Times New Roman" w:hAnsi="Times New Roman"/>
          <w:sz w:val="24"/>
          <w:szCs w:val="24"/>
          <w:lang w:eastAsia="pt-BR"/>
        </w:rPr>
        <w:t xml:space="preserve">, mesmo que o resultado da apuração seja </w:t>
      </w:r>
      <w:proofErr w:type="gramStart"/>
      <w:r w:rsidRPr="00904754">
        <w:rPr>
          <w:rFonts w:ascii="Times New Roman" w:eastAsia="Times New Roman" w:hAnsi="Times New Roman"/>
          <w:sz w:val="24"/>
          <w:szCs w:val="24"/>
          <w:lang w:eastAsia="pt-BR"/>
        </w:rPr>
        <w:t>0</w:t>
      </w:r>
      <w:proofErr w:type="gramEnd"/>
      <w:r w:rsidRPr="00904754">
        <w:rPr>
          <w:rFonts w:ascii="Times New Roman" w:eastAsia="Times New Roman" w:hAnsi="Times New Roman"/>
          <w:sz w:val="24"/>
          <w:szCs w:val="24"/>
          <w:lang w:eastAsia="pt-BR"/>
        </w:rPr>
        <w:t xml:space="preserve"> (zero) ou resulte em saldo credor para o mês seguinte, ou, ainda, no caso de apropriação extemporaneamente do crédito presumido.</w:t>
      </w:r>
    </w:p>
    <w:p w:rsidR="006A329C" w:rsidRDefault="006A329C" w:rsidP="006A329C">
      <w:pPr>
        <w:spacing w:after="0" w:line="240" w:lineRule="auto"/>
        <w:jc w:val="both"/>
        <w:rPr>
          <w:rFonts w:ascii="Times New Roman" w:eastAsia="Times New Roman" w:hAnsi="Times New Roman"/>
          <w:sz w:val="24"/>
          <w:szCs w:val="24"/>
          <w:lang w:eastAsia="pt-BR"/>
        </w:rPr>
      </w:pPr>
    </w:p>
    <w:tbl>
      <w:tblPr>
        <w:tblStyle w:val="Tabelacomgrade"/>
        <w:tblW w:w="9464" w:type="dxa"/>
        <w:tblLayout w:type="fixed"/>
        <w:tblLook w:val="04A0" w:firstRow="1" w:lastRow="0" w:firstColumn="1" w:lastColumn="0" w:noHBand="0" w:noVBand="1"/>
      </w:tblPr>
      <w:tblGrid>
        <w:gridCol w:w="663"/>
        <w:gridCol w:w="8801"/>
      </w:tblGrid>
      <w:tr w:rsidR="006A329C" w:rsidTr="005907C7">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329C" w:rsidRDefault="006A329C" w:rsidP="005907C7">
            <w:pPr>
              <w:jc w:val="both"/>
              <w:rPr>
                <w:b/>
              </w:rPr>
            </w:pPr>
            <w:r>
              <w:rPr>
                <w:b/>
              </w:rPr>
              <w:t>14</w:t>
            </w:r>
          </w:p>
        </w:tc>
        <w:tc>
          <w:tcPr>
            <w:tcW w:w="8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329C" w:rsidRDefault="006A329C" w:rsidP="005907C7">
            <w:pPr>
              <w:jc w:val="both"/>
              <w:rPr>
                <w:b/>
              </w:rPr>
            </w:pPr>
            <w:r>
              <w:rPr>
                <w:b/>
              </w:rPr>
              <w:t>DEMONSTRATIVO DA APURAÇÃO DO IMPOSTO DEVIDO PELA APROPRIAÇÃO DE CRÉDITO PRESUMIDO EM SUBSTITUIÇÃO AOS CRÉDITOS PELAS ENTRADAS - DAICP</w:t>
            </w:r>
          </w:p>
        </w:tc>
      </w:tr>
      <w:tr w:rsidR="006A329C" w:rsidTr="005907C7">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329C" w:rsidRDefault="006A329C" w:rsidP="005907C7">
            <w:pPr>
              <w:jc w:val="both"/>
            </w:pPr>
          </w:p>
        </w:tc>
        <w:tc>
          <w:tcPr>
            <w:tcW w:w="8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329C" w:rsidRDefault="006A329C" w:rsidP="005907C7">
            <w:pPr>
              <w:jc w:val="both"/>
            </w:pPr>
            <w:r>
              <w:t>APURAÇÃO DO DÉBITO PELA APROPRIAÇÃO DO CRÉDITO PRESUMIDO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7E2EB6" w:rsidRDefault="006A329C" w:rsidP="005907C7">
            <w:pPr>
              <w:jc w:val="both"/>
              <w:rPr>
                <w:b/>
              </w:rPr>
            </w:pPr>
            <w:r w:rsidRPr="007E2EB6">
              <w:rPr>
                <w:b/>
              </w:rPr>
              <w:t>010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Valor da base de cálculo das saídas com crédito presumido</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b/>
                <w:sz w:val="20"/>
                <w:szCs w:val="20"/>
              </w:rPr>
            </w:pPr>
            <w:r w:rsidRPr="00952252">
              <w:rPr>
                <w:sz w:val="20"/>
                <w:szCs w:val="20"/>
              </w:rPr>
              <w:t>Preencher com o valor previsto na legislação como base de cálculo para aplicação do crédito presumido respectivo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4E05AE" w:rsidRDefault="006A329C" w:rsidP="005907C7">
            <w:pPr>
              <w:jc w:val="both"/>
              <w:rPr>
                <w:b/>
              </w:rPr>
            </w:pPr>
            <w:r w:rsidRPr="004E05AE">
              <w:rPr>
                <w:b/>
              </w:rPr>
              <w:t>020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Débitos Relativos às Saídas com Crédito Presumido em Substituição aos Créditos das Entradas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b/>
                <w:sz w:val="20"/>
                <w:szCs w:val="20"/>
              </w:rPr>
            </w:pPr>
            <w:r w:rsidRPr="00952252">
              <w:rPr>
                <w:sz w:val="20"/>
                <w:szCs w:val="20"/>
              </w:rPr>
              <w:t>Preencher com o valor segregado da apuração do mês transportado do item 076 do Quadro 09, referente ao débito integral das saídas beneficiadas pelo crédito presumido em substituição aos créditos pelas entradas.</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4E05AE" w:rsidRDefault="006A329C" w:rsidP="005907C7">
            <w:pPr>
              <w:jc w:val="both"/>
              <w:rPr>
                <w:b/>
              </w:rPr>
            </w:pPr>
            <w:r w:rsidRPr="004E05AE">
              <w:rPr>
                <w:b/>
              </w:rPr>
              <w:t>030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Crédito Presumido utilizado em substituição aos créditos das entradas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sz w:val="20"/>
                <w:szCs w:val="20"/>
              </w:rPr>
            </w:pPr>
            <w:r w:rsidRPr="00952252">
              <w:rPr>
                <w:sz w:val="20"/>
                <w:szCs w:val="20"/>
              </w:rPr>
              <w:t>Preencher com valor segregado da apuração do mês transportado do item 036</w:t>
            </w:r>
            <w:proofErr w:type="gramStart"/>
            <w:r w:rsidRPr="00952252">
              <w:rPr>
                <w:sz w:val="20"/>
                <w:szCs w:val="20"/>
              </w:rPr>
              <w:t xml:space="preserve">  </w:t>
            </w:r>
            <w:proofErr w:type="gramEnd"/>
            <w:r w:rsidRPr="00952252">
              <w:rPr>
                <w:sz w:val="20"/>
                <w:szCs w:val="20"/>
              </w:rPr>
              <w:t>do quadro 09, referente aos valores do crédito presumido em substituição aos créditos pela entrada declarados em DCIP, relativas às operações de saídas efetivas no mês</w:t>
            </w:r>
            <w:r>
              <w:rPr>
                <w:sz w:val="20"/>
                <w:szCs w:val="20"/>
              </w:rPr>
              <w:t>.</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4E05AE" w:rsidRDefault="006A329C" w:rsidP="005907C7">
            <w:pPr>
              <w:jc w:val="both"/>
              <w:rPr>
                <w:b/>
              </w:rPr>
            </w:pPr>
            <w:r w:rsidRPr="004E05AE">
              <w:rPr>
                <w:b/>
              </w:rPr>
              <w:t>040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xml:space="preserve">(=) </w:t>
            </w:r>
            <w:r w:rsidRPr="00A47D31">
              <w:rPr>
                <w:rFonts w:eastAsia="Times New Roman"/>
                <w:b/>
                <w:lang w:eastAsia="pt-BR"/>
              </w:rPr>
              <w:t>Saldo Devedor Apurado pela Apropriação do Crédito Presumido no Mês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sz w:val="20"/>
                <w:szCs w:val="20"/>
              </w:rPr>
            </w:pPr>
            <w:r w:rsidRPr="00952252">
              <w:rPr>
                <w:rFonts w:eastAsia="Times New Roman"/>
                <w:sz w:val="20"/>
                <w:szCs w:val="20"/>
                <w:lang w:eastAsia="pt-BR"/>
              </w:rPr>
              <w:t>Preencher com o valor da diferença entre o item 020 e o item 030 deste quadro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4E05AE" w:rsidRDefault="006A329C" w:rsidP="005907C7">
            <w:pPr>
              <w:jc w:val="both"/>
              <w:rPr>
                <w:b/>
              </w:rPr>
            </w:pPr>
            <w:r w:rsidRPr="004E05AE">
              <w:rPr>
                <w:b/>
              </w:rPr>
              <w:t>050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rFonts w:eastAsia="Times New Roman"/>
                <w:b/>
                <w:lang w:eastAsia="pt-BR"/>
              </w:rPr>
              <w:t>(=) Débito Apurado pela Apropriação Extemporânea do Crédito Presumido</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sz w:val="20"/>
                <w:szCs w:val="20"/>
              </w:rPr>
            </w:pPr>
            <w:r w:rsidRPr="00952252">
              <w:rPr>
                <w:sz w:val="20"/>
                <w:szCs w:val="20"/>
              </w:rPr>
              <w:t>Preencher com o valor do débito não recolhido no período de referência da DIME, correspondente a saída em operação ou prestação contemplada com o benefício e cujo crédito presumido foi apropriado extemporaneamente em período de referência diverso.</w:t>
            </w:r>
          </w:p>
          <w:p w:rsidR="006A329C" w:rsidRDefault="006A329C" w:rsidP="005907C7">
            <w:pPr>
              <w:jc w:val="both"/>
              <w:rPr>
                <w:b/>
              </w:rPr>
            </w:pPr>
          </w:p>
          <w:p w:rsidR="006A329C" w:rsidRPr="00821D85" w:rsidRDefault="006A329C" w:rsidP="005907C7">
            <w:pPr>
              <w:jc w:val="both"/>
              <w:rPr>
                <w:rFonts w:eastAsia="Times New Roman"/>
                <w:b/>
                <w:sz w:val="24"/>
                <w:szCs w:val="24"/>
                <w:lang w:eastAsia="pt-BR"/>
              </w:rPr>
            </w:pPr>
            <w:r w:rsidRPr="00821D85">
              <w:rPr>
                <w:b/>
                <w:sz w:val="24"/>
                <w:szCs w:val="24"/>
              </w:rPr>
              <w:t>ATENÇÃO: o débito deve ser informado no período de referência onde ocorreu a saída contemplada com crédito presumido. Paralelamente ao lançamento deste débito, deve ser gerado DCIP de Estorno de Débito (subtipo 15) do mesmo valor do débito informado, e no mesmo período de referência para o qual foi gerado o DCIP de Crédito Presumido pela apropriação extemporânea do crédito presumido.</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329C" w:rsidRDefault="006A329C" w:rsidP="005907C7">
            <w:pPr>
              <w:jc w:val="both"/>
            </w:pPr>
            <w:r>
              <w:lastRenderedPageBreak/>
              <w:t>PAGAMENTOS ANTECIPADOS DECORRENTES DE IMPORTAÇÕES COM DIFERIMENTO</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621A83" w:rsidRDefault="006A329C" w:rsidP="005907C7">
            <w:pPr>
              <w:jc w:val="both"/>
              <w:rPr>
                <w:b/>
              </w:rPr>
            </w:pPr>
            <w:r w:rsidRPr="00621A83">
              <w:rPr>
                <w:b/>
              </w:rPr>
              <w:t>110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xml:space="preserve">(+) Saldo Credor das Antecipações para o Mês Seguinte Apurado no Mês Anterior </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b/>
                <w:sz w:val="20"/>
                <w:szCs w:val="20"/>
              </w:rPr>
            </w:pPr>
            <w:r w:rsidRPr="00952252">
              <w:rPr>
                <w:sz w:val="20"/>
                <w:szCs w:val="20"/>
              </w:rPr>
              <w:t>Preencher com o valor informado no item 198 deste quadro da DIME do mês imediatamente anterior</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621A83" w:rsidRDefault="006A329C" w:rsidP="005907C7">
            <w:pPr>
              <w:jc w:val="both"/>
              <w:rPr>
                <w:b/>
              </w:rPr>
            </w:pPr>
            <w:r w:rsidRPr="00621A83">
              <w:rPr>
                <w:b/>
              </w:rPr>
              <w:t>120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xml:space="preserve">(+) Crédito decorrente do Pagamento Antecipado do ICMS Devido na Saída Subsequente à Importação, com Utilização de Crédito </w:t>
            </w:r>
            <w:proofErr w:type="gramStart"/>
            <w:r w:rsidRPr="00A47D31">
              <w:rPr>
                <w:b/>
              </w:rPr>
              <w:t>Presumido</w:t>
            </w:r>
            <w:proofErr w:type="gramEnd"/>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b/>
                <w:sz w:val="20"/>
                <w:szCs w:val="20"/>
              </w:rPr>
            </w:pPr>
            <w:r w:rsidRPr="00952252">
              <w:rPr>
                <w:sz w:val="20"/>
                <w:szCs w:val="20"/>
              </w:rPr>
              <w:t>Preencher com o valor segregado transportado do item 037 do quadro 09, referente aos pagamentos das antecipações decorrentes de importação</w:t>
            </w:r>
            <w:r>
              <w:rPr>
                <w:sz w:val="20"/>
                <w:szCs w:val="20"/>
              </w:rPr>
              <w:t xml:space="preserve"> (Código de Receita 1759)</w:t>
            </w:r>
            <w:r w:rsidRPr="00952252">
              <w:rPr>
                <w:sz w:val="20"/>
                <w:szCs w:val="20"/>
              </w:rPr>
              <w:t>, creditados em DCIP.</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Default="006A329C" w:rsidP="005907C7">
            <w:pPr>
              <w:jc w:val="both"/>
              <w:rPr>
                <w:b/>
              </w:rPr>
            </w:pPr>
            <w:r>
              <w:rPr>
                <w:b/>
              </w:rPr>
              <w:t>130</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Total das Antecipações</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Default="006A329C" w:rsidP="005907C7">
            <w:pPr>
              <w:jc w:val="both"/>
            </w:pPr>
            <w:r>
              <w:t>Somatório dos itens 110 e 120 deste quadro</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329C" w:rsidRDefault="006A329C" w:rsidP="005907C7">
            <w:pPr>
              <w:jc w:val="both"/>
            </w:pPr>
            <w:r>
              <w:t>IMPOSTO A RECOLHER OU SALDO CREDOR PARA O MÊS SEGUINTE</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621A83" w:rsidRDefault="006A329C" w:rsidP="005907C7">
            <w:pPr>
              <w:jc w:val="both"/>
              <w:rPr>
                <w:b/>
              </w:rPr>
            </w:pPr>
            <w:r w:rsidRPr="00621A83">
              <w:rPr>
                <w:b/>
              </w:rPr>
              <w:t>199</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xml:space="preserve">(=) Imposto a Recolher pela </w:t>
            </w:r>
            <w:r w:rsidRPr="00A47D31">
              <w:rPr>
                <w:rFonts w:eastAsia="Times New Roman"/>
                <w:b/>
                <w:lang w:eastAsia="pt-BR"/>
              </w:rPr>
              <w:t>Utilização do Crédito Presumido</w:t>
            </w:r>
            <w:r w:rsidRPr="00A47D31">
              <w:rPr>
                <w:b/>
              </w:rPr>
              <w:t xml:space="preserve"> </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Default="006A329C" w:rsidP="005907C7">
            <w:pPr>
              <w:jc w:val="both"/>
              <w:rPr>
                <w:sz w:val="20"/>
                <w:szCs w:val="20"/>
              </w:rPr>
            </w:pPr>
            <w:r w:rsidRPr="00952252">
              <w:rPr>
                <w:sz w:val="20"/>
                <w:szCs w:val="20"/>
              </w:rPr>
              <w:t xml:space="preserve">Preencher com o valor da diferença entre o somatório dos itens 040 e 050 e o item 130, se o somatório dos itens 040 e 050 for maior que o Total das Antecipações ou igual a </w:t>
            </w:r>
            <w:proofErr w:type="gramStart"/>
            <w:r w:rsidRPr="00952252">
              <w:rPr>
                <w:sz w:val="20"/>
                <w:szCs w:val="20"/>
              </w:rPr>
              <w:t>0</w:t>
            </w:r>
            <w:proofErr w:type="gramEnd"/>
            <w:r w:rsidRPr="00952252">
              <w:rPr>
                <w:sz w:val="20"/>
                <w:szCs w:val="20"/>
              </w:rPr>
              <w:t xml:space="preserve"> (zero)</w:t>
            </w:r>
            <w:r>
              <w:rPr>
                <w:sz w:val="20"/>
                <w:szCs w:val="20"/>
              </w:rPr>
              <w:t>.</w:t>
            </w:r>
          </w:p>
          <w:p w:rsidR="006A329C" w:rsidRDefault="006A329C" w:rsidP="005907C7">
            <w:pPr>
              <w:jc w:val="both"/>
            </w:pPr>
          </w:p>
          <w:p w:rsidR="006A329C" w:rsidRPr="00821D85" w:rsidRDefault="006A329C" w:rsidP="005907C7">
            <w:pPr>
              <w:jc w:val="both"/>
              <w:rPr>
                <w:b/>
                <w:sz w:val="24"/>
                <w:szCs w:val="24"/>
              </w:rPr>
            </w:pPr>
            <w:r w:rsidRPr="00821D85">
              <w:rPr>
                <w:b/>
                <w:sz w:val="24"/>
                <w:szCs w:val="24"/>
              </w:rPr>
              <w:t>ATENÇÃO: o valor apurado neste item deve ser lançado na EFD utilizando o Ajuste SC050003</w:t>
            </w:r>
            <w:r w:rsidRPr="00821D85">
              <w:rPr>
                <w:rFonts w:eastAsia="Times New Roman" w:cs="Times New Roman"/>
                <w:sz w:val="24"/>
                <w:szCs w:val="24"/>
                <w:lang w:eastAsia="pt-BR"/>
              </w:rPr>
              <w:t xml:space="preserve"> </w:t>
            </w:r>
            <w:r w:rsidRPr="00821D85">
              <w:rPr>
                <w:b/>
                <w:sz w:val="24"/>
                <w:szCs w:val="24"/>
              </w:rPr>
              <w:t>de Débito Especial</w:t>
            </w:r>
          </w:p>
        </w:tc>
      </w:tr>
      <w:tr w:rsidR="006A329C" w:rsidTr="005907C7">
        <w:tc>
          <w:tcPr>
            <w:tcW w:w="663" w:type="dxa"/>
            <w:tcBorders>
              <w:top w:val="single" w:sz="4" w:space="0" w:color="auto"/>
              <w:left w:val="single" w:sz="4" w:space="0" w:color="auto"/>
              <w:bottom w:val="single" w:sz="4" w:space="0" w:color="auto"/>
              <w:right w:val="single" w:sz="4" w:space="0" w:color="auto"/>
            </w:tcBorders>
            <w:hideMark/>
          </w:tcPr>
          <w:p w:rsidR="006A329C" w:rsidRPr="00621A83" w:rsidRDefault="006A329C" w:rsidP="005907C7">
            <w:pPr>
              <w:jc w:val="both"/>
              <w:rPr>
                <w:b/>
              </w:rPr>
            </w:pPr>
            <w:r w:rsidRPr="00621A83">
              <w:rPr>
                <w:b/>
              </w:rPr>
              <w:t xml:space="preserve">198 </w:t>
            </w:r>
          </w:p>
        </w:tc>
        <w:tc>
          <w:tcPr>
            <w:tcW w:w="8801" w:type="dxa"/>
            <w:tcBorders>
              <w:top w:val="single" w:sz="4" w:space="0" w:color="auto"/>
              <w:left w:val="single" w:sz="4" w:space="0" w:color="auto"/>
              <w:bottom w:val="single" w:sz="4" w:space="0" w:color="auto"/>
              <w:right w:val="single" w:sz="4" w:space="0" w:color="auto"/>
            </w:tcBorders>
            <w:hideMark/>
          </w:tcPr>
          <w:p w:rsidR="006A329C" w:rsidRPr="00A47D31" w:rsidRDefault="006A329C" w:rsidP="005907C7">
            <w:pPr>
              <w:jc w:val="both"/>
              <w:rPr>
                <w:b/>
              </w:rPr>
            </w:pPr>
            <w:r w:rsidRPr="00A47D31">
              <w:rPr>
                <w:b/>
              </w:rPr>
              <w:t>(=) Saldo Credor das Antecipações para o Mês Seguinte</w:t>
            </w:r>
          </w:p>
        </w:tc>
      </w:tr>
      <w:tr w:rsidR="006A329C" w:rsidTr="005907C7">
        <w:tc>
          <w:tcPr>
            <w:tcW w:w="9464" w:type="dxa"/>
            <w:gridSpan w:val="2"/>
            <w:tcBorders>
              <w:top w:val="single" w:sz="4" w:space="0" w:color="auto"/>
              <w:left w:val="single" w:sz="4" w:space="0" w:color="auto"/>
              <w:bottom w:val="single" w:sz="4" w:space="0" w:color="auto"/>
              <w:right w:val="single" w:sz="4" w:space="0" w:color="auto"/>
            </w:tcBorders>
          </w:tcPr>
          <w:p w:rsidR="006A329C" w:rsidRPr="00952252" w:rsidRDefault="006A329C" w:rsidP="005907C7">
            <w:pPr>
              <w:jc w:val="both"/>
              <w:rPr>
                <w:sz w:val="20"/>
                <w:szCs w:val="20"/>
              </w:rPr>
            </w:pPr>
            <w:r w:rsidRPr="00952252">
              <w:rPr>
                <w:sz w:val="20"/>
                <w:szCs w:val="20"/>
              </w:rPr>
              <w:t xml:space="preserve">Preenchido com a diferença entre o item 130 e o somatório dos itens 040 e 050, sempre que resultar valor maior que </w:t>
            </w:r>
            <w:proofErr w:type="gramStart"/>
            <w:r w:rsidRPr="00952252">
              <w:rPr>
                <w:sz w:val="20"/>
                <w:szCs w:val="20"/>
              </w:rPr>
              <w:t>0</w:t>
            </w:r>
            <w:proofErr w:type="gramEnd"/>
            <w:r w:rsidRPr="00952252">
              <w:rPr>
                <w:sz w:val="20"/>
                <w:szCs w:val="20"/>
              </w:rPr>
              <w:t xml:space="preserve"> (zero)</w:t>
            </w:r>
            <w:r>
              <w:rPr>
                <w:sz w:val="20"/>
                <w:szCs w:val="20"/>
              </w:rPr>
              <w:t>.</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sidRPr="00952252">
        <w:rPr>
          <w:rFonts w:ascii="Times New Roman" w:eastAsia="Times New Roman" w:hAnsi="Times New Roman"/>
          <w:b/>
          <w:sz w:val="24"/>
          <w:szCs w:val="24"/>
          <w:lang w:eastAsia="pt-BR"/>
        </w:rPr>
        <w:t>1.4 - no Quadro 12,</w:t>
      </w:r>
      <w:r>
        <w:rPr>
          <w:rFonts w:ascii="Times New Roman" w:eastAsia="Times New Roman" w:hAnsi="Times New Roman"/>
          <w:sz w:val="24"/>
          <w:szCs w:val="24"/>
          <w:lang w:eastAsia="pt-BR"/>
        </w:rPr>
        <w:t xml:space="preserve"> a inclusão em sua Tabela, do novo Código de Receita válido para recolhimento do débito apurado separadamente no Quadro 14:</w:t>
      </w:r>
    </w:p>
    <w:p w:rsidR="006A329C" w:rsidRDefault="006A329C" w:rsidP="006A329C">
      <w:pPr>
        <w:spacing w:after="0" w:line="240" w:lineRule="auto"/>
        <w:jc w:val="both"/>
        <w:rPr>
          <w:rFonts w:ascii="Times New Roman" w:eastAsia="Times New Roman" w:hAnsi="Times New Roman"/>
          <w:sz w:val="24"/>
          <w:szCs w:val="24"/>
          <w:lang w:eastAsia="pt-BR"/>
        </w:rPr>
      </w:pPr>
    </w:p>
    <w:tbl>
      <w:tblPr>
        <w:tblW w:w="5000" w:type="pct"/>
        <w:tblCellMar>
          <w:left w:w="0" w:type="dxa"/>
          <w:right w:w="0" w:type="dxa"/>
        </w:tblCellMar>
        <w:tblLook w:val="04A0" w:firstRow="1" w:lastRow="0" w:firstColumn="1" w:lastColumn="0" w:noHBand="0" w:noVBand="1"/>
      </w:tblPr>
      <w:tblGrid>
        <w:gridCol w:w="975"/>
        <w:gridCol w:w="879"/>
        <w:gridCol w:w="2345"/>
        <w:gridCol w:w="2245"/>
        <w:gridCol w:w="3126"/>
      </w:tblGrid>
      <w:tr w:rsidR="006A329C" w:rsidTr="005907C7">
        <w:tc>
          <w:tcPr>
            <w:tcW w:w="5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Quadro</w:t>
            </w:r>
          </w:p>
        </w:tc>
        <w:tc>
          <w:tcPr>
            <w:tcW w:w="4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Origem</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Código de Receita</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Classe de Vencimento</w:t>
            </w:r>
          </w:p>
        </w:tc>
        <w:tc>
          <w:tcPr>
            <w:tcW w:w="16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Data</w:t>
            </w:r>
          </w:p>
        </w:tc>
      </w:tr>
      <w:tr w:rsidR="006A329C" w:rsidTr="005907C7">
        <w:tc>
          <w:tcPr>
            <w:tcW w:w="510"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6A329C" w:rsidRDefault="006A329C" w:rsidP="005907C7">
            <w:pPr>
              <w:spacing w:after="0" w:line="240" w:lineRule="auto"/>
              <w:jc w:val="both"/>
              <w:rPr>
                <w:rFonts w:eastAsia="Times New Roman" w:cs="Arial"/>
                <w:lang w:eastAsia="pt-BR"/>
              </w:rPr>
            </w:pPr>
            <w:r>
              <w:rPr>
                <w:rFonts w:eastAsia="Times New Roman" w:cs="Arial"/>
                <w:lang w:eastAsia="pt-BR"/>
              </w:rPr>
              <w:t>14</w:t>
            </w:r>
          </w:p>
        </w:tc>
        <w:tc>
          <w:tcPr>
            <w:tcW w:w="459" w:type="pct"/>
            <w:vMerge w:val="restart"/>
            <w:tcBorders>
              <w:top w:val="nil"/>
              <w:left w:val="nil"/>
              <w:right w:val="single" w:sz="8" w:space="0" w:color="auto"/>
            </w:tcBorders>
            <w:tcMar>
              <w:top w:w="0" w:type="dxa"/>
              <w:left w:w="108" w:type="dxa"/>
              <w:bottom w:w="0" w:type="dxa"/>
              <w:right w:w="108" w:type="dxa"/>
            </w:tcMar>
            <w:vAlign w:val="center"/>
          </w:tcPr>
          <w:p w:rsidR="006A329C" w:rsidRDefault="006A329C" w:rsidP="005907C7">
            <w:pPr>
              <w:spacing w:after="0" w:line="240" w:lineRule="auto"/>
              <w:jc w:val="both"/>
              <w:rPr>
                <w:rFonts w:eastAsia="Times New Roman" w:cs="Arial"/>
                <w:lang w:eastAsia="pt-BR"/>
              </w:rPr>
            </w:pPr>
            <w:proofErr w:type="gramStart"/>
            <w:r>
              <w:rPr>
                <w:rFonts w:eastAsia="Times New Roman" w:cs="Arial"/>
                <w:lang w:eastAsia="pt-BR"/>
              </w:rPr>
              <w:t>3</w:t>
            </w:r>
            <w:proofErr w:type="gramEnd"/>
          </w:p>
        </w:tc>
        <w:tc>
          <w:tcPr>
            <w:tcW w:w="1225" w:type="pct"/>
            <w:vMerge w:val="restart"/>
            <w:tcBorders>
              <w:top w:val="nil"/>
              <w:left w:val="nil"/>
              <w:right w:val="single" w:sz="8" w:space="0" w:color="auto"/>
            </w:tcBorders>
            <w:tcMar>
              <w:top w:w="0" w:type="dxa"/>
              <w:left w:w="108" w:type="dxa"/>
              <w:bottom w:w="0" w:type="dxa"/>
              <w:right w:w="108" w:type="dxa"/>
            </w:tcMar>
            <w:vAlign w:val="center"/>
          </w:tcPr>
          <w:p w:rsidR="006A329C" w:rsidRPr="006654E1" w:rsidRDefault="006A329C" w:rsidP="005907C7">
            <w:pPr>
              <w:spacing w:after="0" w:line="240" w:lineRule="auto"/>
              <w:jc w:val="both"/>
              <w:rPr>
                <w:rFonts w:eastAsia="Times New Roman" w:cs="Arial"/>
                <w:b/>
                <w:lang w:eastAsia="pt-BR"/>
              </w:rPr>
            </w:pPr>
            <w:proofErr w:type="gramStart"/>
            <w:r w:rsidRPr="006654E1">
              <w:rPr>
                <w:rFonts w:eastAsia="Times New Roman" w:cs="Arial"/>
                <w:b/>
                <w:lang w:eastAsia="pt-BR"/>
              </w:rPr>
              <w:t>2496 - ICMS - Resultante da Utilização de Crédito Presumido</w:t>
            </w:r>
            <w:proofErr w:type="gramEnd"/>
          </w:p>
        </w:tc>
        <w:tc>
          <w:tcPr>
            <w:tcW w:w="117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10014</w:t>
            </w:r>
          </w:p>
        </w:tc>
        <w:tc>
          <w:tcPr>
            <w:tcW w:w="163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10º dia do período seguinte</w:t>
            </w:r>
          </w:p>
        </w:tc>
      </w:tr>
      <w:tr w:rsidR="006A329C" w:rsidTr="005907C7">
        <w:tc>
          <w:tcPr>
            <w:tcW w:w="510" w:type="pct"/>
            <w:vMerge/>
            <w:tcBorders>
              <w:left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p>
        </w:tc>
        <w:tc>
          <w:tcPr>
            <w:tcW w:w="459" w:type="pct"/>
            <w:vMerge/>
            <w:tcBorders>
              <w:left w:val="nil"/>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p>
        </w:tc>
        <w:tc>
          <w:tcPr>
            <w:tcW w:w="1225" w:type="pct"/>
            <w:vMerge/>
            <w:tcBorders>
              <w:left w:val="nil"/>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p>
        </w:tc>
        <w:tc>
          <w:tcPr>
            <w:tcW w:w="117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10103</w:t>
            </w:r>
          </w:p>
        </w:tc>
        <w:tc>
          <w:tcPr>
            <w:tcW w:w="163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16º dia do período seguinte (1)</w:t>
            </w:r>
          </w:p>
        </w:tc>
      </w:tr>
      <w:tr w:rsidR="006A329C" w:rsidTr="005907C7">
        <w:tc>
          <w:tcPr>
            <w:tcW w:w="510"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6A329C" w:rsidRDefault="006A329C" w:rsidP="005907C7">
            <w:pPr>
              <w:spacing w:after="0" w:line="240" w:lineRule="auto"/>
              <w:jc w:val="both"/>
              <w:rPr>
                <w:rFonts w:eastAsia="Times New Roman" w:cs="Arial"/>
                <w:lang w:eastAsia="pt-BR"/>
              </w:rPr>
            </w:pPr>
          </w:p>
        </w:tc>
        <w:tc>
          <w:tcPr>
            <w:tcW w:w="459" w:type="pct"/>
            <w:vMerge/>
            <w:tcBorders>
              <w:left w:val="nil"/>
              <w:bottom w:val="single" w:sz="8" w:space="0" w:color="auto"/>
              <w:right w:val="single" w:sz="8" w:space="0" w:color="auto"/>
            </w:tcBorders>
            <w:tcMar>
              <w:top w:w="0" w:type="dxa"/>
              <w:left w:w="108" w:type="dxa"/>
              <w:bottom w:w="0" w:type="dxa"/>
              <w:right w:w="108" w:type="dxa"/>
            </w:tcMar>
            <w:vAlign w:val="center"/>
          </w:tcPr>
          <w:p w:rsidR="006A329C" w:rsidRDefault="006A329C" w:rsidP="005907C7">
            <w:pPr>
              <w:spacing w:after="0" w:line="240" w:lineRule="auto"/>
              <w:jc w:val="both"/>
              <w:rPr>
                <w:rFonts w:eastAsia="Times New Roman" w:cs="Arial"/>
                <w:lang w:eastAsia="pt-BR"/>
              </w:rPr>
            </w:pPr>
          </w:p>
        </w:tc>
        <w:tc>
          <w:tcPr>
            <w:tcW w:w="1225" w:type="pct"/>
            <w:vMerge/>
            <w:tcBorders>
              <w:left w:val="nil"/>
              <w:bottom w:val="single" w:sz="8" w:space="0" w:color="auto"/>
              <w:right w:val="single" w:sz="8" w:space="0" w:color="auto"/>
            </w:tcBorders>
            <w:tcMar>
              <w:top w:w="0" w:type="dxa"/>
              <w:left w:w="108" w:type="dxa"/>
              <w:bottom w:w="0" w:type="dxa"/>
              <w:right w:w="108" w:type="dxa"/>
            </w:tcMar>
            <w:vAlign w:val="center"/>
          </w:tcPr>
          <w:p w:rsidR="006A329C" w:rsidRDefault="006A329C" w:rsidP="005907C7">
            <w:pPr>
              <w:spacing w:after="0" w:line="240" w:lineRule="auto"/>
              <w:jc w:val="both"/>
              <w:rPr>
                <w:rFonts w:eastAsia="Times New Roman" w:cs="Arial"/>
                <w:lang w:eastAsia="pt-BR"/>
              </w:rPr>
            </w:pPr>
          </w:p>
        </w:tc>
        <w:tc>
          <w:tcPr>
            <w:tcW w:w="117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10421</w:t>
            </w:r>
          </w:p>
        </w:tc>
        <w:tc>
          <w:tcPr>
            <w:tcW w:w="16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A329C" w:rsidRDefault="006A329C" w:rsidP="005907C7">
            <w:pPr>
              <w:spacing w:after="0" w:line="240" w:lineRule="auto"/>
              <w:jc w:val="both"/>
              <w:rPr>
                <w:rFonts w:eastAsia="Times New Roman" w:cs="Arial"/>
                <w:lang w:eastAsia="pt-BR"/>
              </w:rPr>
            </w:pPr>
            <w:r>
              <w:rPr>
                <w:rFonts w:eastAsia="Times New Roman" w:cs="Arial"/>
                <w:lang w:eastAsia="pt-BR"/>
              </w:rPr>
              <w:t>20º dia do período seguinte (1)</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 aplica-se a regularidade ao débito apurado no Quadro 14.</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roofErr w:type="gramStart"/>
      <w:r w:rsidRPr="00D97614">
        <w:rPr>
          <w:rFonts w:ascii="Times New Roman" w:eastAsia="Times New Roman" w:hAnsi="Times New Roman"/>
          <w:b/>
          <w:sz w:val="24"/>
          <w:szCs w:val="24"/>
          <w:lang w:eastAsia="pt-BR"/>
        </w:rPr>
        <w:t xml:space="preserve">1.5 - </w:t>
      </w:r>
      <w:r>
        <w:rPr>
          <w:rFonts w:ascii="Times New Roman" w:eastAsia="Times New Roman" w:hAnsi="Times New Roman"/>
          <w:b/>
          <w:sz w:val="24"/>
          <w:szCs w:val="24"/>
          <w:lang w:eastAsia="pt-BR"/>
        </w:rPr>
        <w:t>n</w:t>
      </w:r>
      <w:r w:rsidRPr="00D97614">
        <w:rPr>
          <w:rFonts w:ascii="Times New Roman" w:eastAsia="Times New Roman" w:hAnsi="Times New Roman"/>
          <w:b/>
          <w:sz w:val="24"/>
          <w:szCs w:val="24"/>
          <w:lang w:eastAsia="pt-BR"/>
        </w:rPr>
        <w:t>o DCIP d</w:t>
      </w:r>
      <w:r>
        <w:rPr>
          <w:rFonts w:ascii="Times New Roman" w:eastAsia="Times New Roman" w:hAnsi="Times New Roman"/>
          <w:b/>
          <w:sz w:val="24"/>
          <w:szCs w:val="24"/>
          <w:lang w:eastAsia="pt-BR"/>
        </w:rPr>
        <w:t>o</w:t>
      </w:r>
      <w:r w:rsidRPr="00D97614">
        <w:rPr>
          <w:rFonts w:ascii="Times New Roman" w:eastAsia="Times New Roman" w:hAnsi="Times New Roman"/>
          <w:b/>
          <w:sz w:val="24"/>
          <w:szCs w:val="24"/>
          <w:lang w:eastAsia="pt-BR"/>
        </w:rPr>
        <w:t xml:space="preserve"> Tipo 4 - Estorno</w:t>
      </w:r>
      <w:proofErr w:type="gramEnd"/>
      <w:r w:rsidRPr="00D97614">
        <w:rPr>
          <w:rFonts w:ascii="Times New Roman" w:eastAsia="Times New Roman" w:hAnsi="Times New Roman"/>
          <w:b/>
          <w:sz w:val="24"/>
          <w:szCs w:val="24"/>
          <w:lang w:eastAsia="pt-BR"/>
        </w:rPr>
        <w:t xml:space="preserve"> de Débito</w:t>
      </w:r>
      <w:r>
        <w:rPr>
          <w:rFonts w:ascii="Times New Roman" w:eastAsia="Times New Roman" w:hAnsi="Times New Roman"/>
          <w:sz w:val="24"/>
          <w:szCs w:val="24"/>
          <w:lang w:eastAsia="pt-BR"/>
        </w:rPr>
        <w:t xml:space="preserve"> - a inclusão subtipo 15, para estornar da apuração do Quadro 09, o correspondente valor informado no item 050 (</w:t>
      </w:r>
      <w:r w:rsidRPr="00D97614">
        <w:rPr>
          <w:rFonts w:ascii="Times New Roman" w:eastAsia="Times New Roman" w:hAnsi="Times New Roman"/>
          <w:sz w:val="24"/>
          <w:szCs w:val="24"/>
          <w:lang w:eastAsia="pt-BR"/>
        </w:rPr>
        <w:t>Débito Apurado pela Apropriação Extemporânea do Crédito Presumido</w:t>
      </w:r>
      <w:r>
        <w:rPr>
          <w:rFonts w:ascii="Times New Roman" w:eastAsia="Times New Roman" w:hAnsi="Times New Roman"/>
          <w:sz w:val="24"/>
          <w:szCs w:val="24"/>
          <w:lang w:eastAsia="pt-BR"/>
        </w:rPr>
        <w:t>) do Quadro 14:</w:t>
      </w:r>
    </w:p>
    <w:p w:rsidR="006A329C" w:rsidRDefault="006A329C" w:rsidP="006A329C">
      <w:pPr>
        <w:spacing w:after="0" w:line="240" w:lineRule="auto"/>
        <w:jc w:val="both"/>
        <w:rPr>
          <w:rFonts w:ascii="Times New Roman" w:eastAsia="Times New Roman" w:hAnsi="Times New Roman"/>
          <w:sz w:val="24"/>
          <w:szCs w:val="24"/>
          <w:lang w:eastAsia="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4111"/>
        <w:gridCol w:w="1275"/>
        <w:gridCol w:w="993"/>
      </w:tblGrid>
      <w:tr w:rsidR="006A329C" w:rsidRPr="00F308C3" w:rsidTr="005907C7">
        <w:tc>
          <w:tcPr>
            <w:tcW w:w="675" w:type="dxa"/>
            <w:vMerge w:val="restart"/>
            <w:vAlign w:val="center"/>
          </w:tcPr>
          <w:p w:rsidR="006A329C" w:rsidRPr="00F308C3" w:rsidRDefault="006A329C" w:rsidP="005907C7">
            <w:pPr>
              <w:spacing w:after="0" w:line="240" w:lineRule="auto"/>
              <w:jc w:val="center"/>
              <w:rPr>
                <w:rFonts w:ascii="Arial" w:hAnsi="Arial" w:cs="Arial"/>
                <w:sz w:val="20"/>
                <w:szCs w:val="20"/>
              </w:rPr>
            </w:pPr>
            <w:proofErr w:type="spellStart"/>
            <w:r w:rsidRPr="00F308C3">
              <w:rPr>
                <w:rFonts w:ascii="Arial" w:hAnsi="Arial" w:cs="Arial"/>
                <w:sz w:val="20"/>
                <w:szCs w:val="20"/>
              </w:rPr>
              <w:t>Cód</w:t>
            </w:r>
            <w:proofErr w:type="spellEnd"/>
          </w:p>
        </w:tc>
        <w:tc>
          <w:tcPr>
            <w:tcW w:w="2552" w:type="dxa"/>
            <w:vMerge w:val="restart"/>
            <w:vAlign w:val="center"/>
          </w:tcPr>
          <w:p w:rsidR="006A329C" w:rsidRPr="00F308C3" w:rsidRDefault="006A329C" w:rsidP="005907C7">
            <w:pPr>
              <w:spacing w:after="0" w:line="240" w:lineRule="auto"/>
              <w:jc w:val="center"/>
              <w:rPr>
                <w:rFonts w:ascii="Arial" w:hAnsi="Arial" w:cs="Arial"/>
                <w:sz w:val="20"/>
                <w:szCs w:val="20"/>
              </w:rPr>
            </w:pPr>
            <w:r w:rsidRPr="00F308C3">
              <w:rPr>
                <w:rFonts w:ascii="Arial" w:hAnsi="Arial" w:cs="Arial"/>
                <w:sz w:val="20"/>
                <w:szCs w:val="20"/>
              </w:rPr>
              <w:t>DESCRIÇÃO NA DCIP</w:t>
            </w:r>
          </w:p>
        </w:tc>
        <w:tc>
          <w:tcPr>
            <w:tcW w:w="4111" w:type="dxa"/>
            <w:vMerge w:val="restart"/>
            <w:vAlign w:val="center"/>
          </w:tcPr>
          <w:p w:rsidR="006A329C" w:rsidRPr="00F308C3" w:rsidRDefault="006A329C" w:rsidP="005907C7">
            <w:pPr>
              <w:spacing w:after="0" w:line="240" w:lineRule="auto"/>
              <w:jc w:val="center"/>
              <w:rPr>
                <w:rFonts w:ascii="Arial" w:hAnsi="Arial" w:cs="Arial"/>
                <w:sz w:val="20"/>
                <w:szCs w:val="20"/>
              </w:rPr>
            </w:pPr>
            <w:r w:rsidRPr="00F308C3">
              <w:rPr>
                <w:rFonts w:ascii="Arial" w:hAnsi="Arial" w:cs="Arial"/>
                <w:sz w:val="20"/>
                <w:szCs w:val="20"/>
              </w:rPr>
              <w:t>DESCRIÇÃO DETALHADA</w:t>
            </w:r>
          </w:p>
        </w:tc>
        <w:tc>
          <w:tcPr>
            <w:tcW w:w="2268" w:type="dxa"/>
            <w:gridSpan w:val="2"/>
            <w:vAlign w:val="center"/>
          </w:tcPr>
          <w:p w:rsidR="006A329C" w:rsidRPr="00F308C3" w:rsidRDefault="006A329C" w:rsidP="005907C7">
            <w:pPr>
              <w:spacing w:after="0" w:line="240" w:lineRule="auto"/>
              <w:jc w:val="center"/>
              <w:rPr>
                <w:rFonts w:ascii="Arial" w:hAnsi="Arial" w:cs="Arial"/>
                <w:sz w:val="20"/>
                <w:szCs w:val="20"/>
              </w:rPr>
            </w:pPr>
            <w:r w:rsidRPr="00F308C3">
              <w:rPr>
                <w:rFonts w:ascii="Arial" w:hAnsi="Arial" w:cs="Arial"/>
                <w:sz w:val="20"/>
                <w:szCs w:val="20"/>
              </w:rPr>
              <w:t>VALIDADE DO CRÉDITO</w:t>
            </w:r>
          </w:p>
        </w:tc>
      </w:tr>
      <w:tr w:rsidR="006A329C" w:rsidRPr="00F308C3" w:rsidTr="005907C7">
        <w:tc>
          <w:tcPr>
            <w:tcW w:w="675" w:type="dxa"/>
            <w:vMerge/>
            <w:tcBorders>
              <w:bottom w:val="single" w:sz="4" w:space="0" w:color="auto"/>
            </w:tcBorders>
            <w:vAlign w:val="center"/>
          </w:tcPr>
          <w:p w:rsidR="006A329C" w:rsidRPr="00F308C3" w:rsidRDefault="006A329C" w:rsidP="005907C7">
            <w:pPr>
              <w:spacing w:after="0" w:line="240" w:lineRule="auto"/>
              <w:rPr>
                <w:rFonts w:ascii="Arial" w:hAnsi="Arial" w:cs="Arial"/>
                <w:sz w:val="20"/>
                <w:szCs w:val="20"/>
              </w:rPr>
            </w:pPr>
          </w:p>
        </w:tc>
        <w:tc>
          <w:tcPr>
            <w:tcW w:w="2552" w:type="dxa"/>
            <w:vMerge/>
            <w:tcBorders>
              <w:bottom w:val="single" w:sz="4" w:space="0" w:color="auto"/>
            </w:tcBorders>
            <w:vAlign w:val="center"/>
          </w:tcPr>
          <w:p w:rsidR="006A329C" w:rsidRPr="00F308C3" w:rsidRDefault="006A329C" w:rsidP="005907C7">
            <w:pPr>
              <w:spacing w:after="0" w:line="240" w:lineRule="auto"/>
              <w:rPr>
                <w:rFonts w:ascii="Arial" w:hAnsi="Arial" w:cs="Arial"/>
                <w:sz w:val="20"/>
                <w:szCs w:val="20"/>
              </w:rPr>
            </w:pPr>
          </w:p>
        </w:tc>
        <w:tc>
          <w:tcPr>
            <w:tcW w:w="4111" w:type="dxa"/>
            <w:vMerge/>
            <w:tcBorders>
              <w:bottom w:val="single" w:sz="4" w:space="0" w:color="auto"/>
            </w:tcBorders>
            <w:vAlign w:val="center"/>
          </w:tcPr>
          <w:p w:rsidR="006A329C" w:rsidRPr="00F308C3" w:rsidRDefault="006A329C" w:rsidP="005907C7">
            <w:pPr>
              <w:spacing w:after="0" w:line="240" w:lineRule="auto"/>
              <w:rPr>
                <w:rFonts w:ascii="Arial" w:hAnsi="Arial" w:cs="Arial"/>
                <w:sz w:val="20"/>
                <w:szCs w:val="20"/>
              </w:rPr>
            </w:pPr>
          </w:p>
        </w:tc>
        <w:tc>
          <w:tcPr>
            <w:tcW w:w="1275" w:type="dxa"/>
            <w:tcBorders>
              <w:bottom w:val="single" w:sz="4" w:space="0" w:color="auto"/>
            </w:tcBorders>
            <w:vAlign w:val="center"/>
          </w:tcPr>
          <w:p w:rsidR="006A329C" w:rsidRPr="00F308C3" w:rsidRDefault="006A329C" w:rsidP="005907C7">
            <w:pPr>
              <w:spacing w:after="0" w:line="240" w:lineRule="auto"/>
              <w:jc w:val="center"/>
              <w:rPr>
                <w:rFonts w:ascii="Arial" w:hAnsi="Arial" w:cs="Arial"/>
                <w:sz w:val="20"/>
                <w:szCs w:val="20"/>
              </w:rPr>
            </w:pPr>
            <w:r w:rsidRPr="00F308C3">
              <w:rPr>
                <w:rFonts w:ascii="Arial" w:hAnsi="Arial" w:cs="Arial"/>
                <w:sz w:val="20"/>
                <w:szCs w:val="20"/>
              </w:rPr>
              <w:t>Incorrido a partir</w:t>
            </w:r>
          </w:p>
        </w:tc>
        <w:tc>
          <w:tcPr>
            <w:tcW w:w="993" w:type="dxa"/>
            <w:tcBorders>
              <w:bottom w:val="single" w:sz="4" w:space="0" w:color="auto"/>
            </w:tcBorders>
            <w:vAlign w:val="center"/>
          </w:tcPr>
          <w:p w:rsidR="006A329C" w:rsidRPr="00F308C3" w:rsidRDefault="006A329C" w:rsidP="005907C7">
            <w:pPr>
              <w:spacing w:after="0" w:line="240" w:lineRule="auto"/>
              <w:jc w:val="center"/>
              <w:rPr>
                <w:rFonts w:ascii="Arial" w:hAnsi="Arial" w:cs="Arial"/>
                <w:sz w:val="20"/>
                <w:szCs w:val="20"/>
              </w:rPr>
            </w:pPr>
            <w:r w:rsidRPr="00F308C3">
              <w:rPr>
                <w:rFonts w:ascii="Arial" w:hAnsi="Arial" w:cs="Arial"/>
                <w:sz w:val="20"/>
                <w:szCs w:val="20"/>
              </w:rPr>
              <w:t>Incorrido até</w:t>
            </w:r>
          </w:p>
        </w:tc>
      </w:tr>
      <w:tr w:rsidR="006A329C" w:rsidRPr="00EE625A" w:rsidTr="005907C7">
        <w:tc>
          <w:tcPr>
            <w:tcW w:w="675" w:type="dxa"/>
            <w:tcBorders>
              <w:top w:val="single" w:sz="4" w:space="0" w:color="auto"/>
              <w:left w:val="single" w:sz="4" w:space="0" w:color="auto"/>
              <w:bottom w:val="single" w:sz="4" w:space="0" w:color="auto"/>
              <w:right w:val="single" w:sz="4" w:space="0" w:color="auto"/>
            </w:tcBorders>
            <w:vAlign w:val="center"/>
          </w:tcPr>
          <w:p w:rsidR="006A329C" w:rsidRPr="00EE625A" w:rsidRDefault="006A329C" w:rsidP="005907C7">
            <w:pPr>
              <w:spacing w:after="0" w:line="240" w:lineRule="auto"/>
              <w:rPr>
                <w:rFonts w:ascii="Arial" w:hAnsi="Arial" w:cs="Arial"/>
                <w:caps/>
              </w:rPr>
            </w:pPr>
            <w:r w:rsidRPr="00EE625A">
              <w:rPr>
                <w:rFonts w:ascii="Arial" w:hAnsi="Arial" w:cs="Arial"/>
                <w:caps/>
              </w:rPr>
              <w:t>1</w:t>
            </w:r>
            <w:r>
              <w:rPr>
                <w:rFonts w:ascii="Arial" w:hAnsi="Arial" w:cs="Arial"/>
                <w:caps/>
              </w:rPr>
              <w:t>5</w:t>
            </w:r>
          </w:p>
          <w:p w:rsidR="006A329C" w:rsidRPr="00EE625A" w:rsidRDefault="006A329C" w:rsidP="005907C7">
            <w:pPr>
              <w:spacing w:after="0" w:line="240" w:lineRule="auto"/>
              <w:rPr>
                <w:rFonts w:ascii="Arial" w:hAnsi="Arial" w:cs="Arial"/>
                <w:sz w:val="18"/>
                <w:szCs w:val="18"/>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rsidR="006A329C" w:rsidRPr="00D74289" w:rsidRDefault="006A329C" w:rsidP="005907C7">
            <w:pPr>
              <w:spacing w:after="0" w:line="240" w:lineRule="auto"/>
              <w:rPr>
                <w:rFonts w:asciiTheme="majorHAnsi" w:hAnsiTheme="majorHAnsi" w:cs="Arial"/>
              </w:rPr>
            </w:pPr>
            <w:r w:rsidRPr="00D74289">
              <w:rPr>
                <w:rFonts w:asciiTheme="majorHAnsi" w:hAnsiTheme="majorHAnsi" w:cs="Arial"/>
              </w:rPr>
              <w:t xml:space="preserve">Estorno de débito correspondente ao valor do ICMS apurado em separado e declarado extemporaneamente </w:t>
            </w:r>
          </w:p>
        </w:tc>
        <w:tc>
          <w:tcPr>
            <w:tcW w:w="4111" w:type="dxa"/>
            <w:tcBorders>
              <w:top w:val="single" w:sz="4" w:space="0" w:color="auto"/>
              <w:left w:val="single" w:sz="4" w:space="0" w:color="auto"/>
              <w:bottom w:val="single" w:sz="4" w:space="0" w:color="auto"/>
              <w:right w:val="single" w:sz="4" w:space="0" w:color="auto"/>
            </w:tcBorders>
            <w:vAlign w:val="center"/>
          </w:tcPr>
          <w:p w:rsidR="006A329C" w:rsidRPr="00E70002" w:rsidRDefault="006A329C" w:rsidP="005907C7">
            <w:pPr>
              <w:spacing w:after="0" w:line="240" w:lineRule="auto"/>
              <w:rPr>
                <w:sz w:val="20"/>
                <w:szCs w:val="20"/>
              </w:rPr>
            </w:pPr>
            <w:r w:rsidRPr="00E70002">
              <w:rPr>
                <w:sz w:val="20"/>
                <w:szCs w:val="20"/>
              </w:rPr>
              <w:t xml:space="preserve">Estorno de débito do mesmo valor do imposto apurado separadamente e declarado extemporaneamente no </w:t>
            </w:r>
            <w:r w:rsidRPr="00E70002">
              <w:rPr>
                <w:rFonts w:cs="Arial"/>
                <w:sz w:val="20"/>
                <w:szCs w:val="20"/>
              </w:rPr>
              <w:t xml:space="preserve">Quadro 14, item 050 da DIME, ou em DDE, se for o caso, devido </w:t>
            </w:r>
            <w:r w:rsidRPr="00E70002">
              <w:rPr>
                <w:sz w:val="20"/>
                <w:szCs w:val="20"/>
              </w:rPr>
              <w:t xml:space="preserve">conforme disposto no Anexo </w:t>
            </w:r>
            <w:proofErr w:type="gramStart"/>
            <w:r w:rsidRPr="00E70002">
              <w:rPr>
                <w:sz w:val="20"/>
                <w:szCs w:val="20"/>
              </w:rPr>
              <w:t>2</w:t>
            </w:r>
            <w:proofErr w:type="gramEnd"/>
            <w:r w:rsidRPr="00E70002">
              <w:rPr>
                <w:sz w:val="20"/>
                <w:szCs w:val="20"/>
              </w:rPr>
              <w:t>, art. 23, V, pela apropriação do crédito presumido em substituição aos créditos pelas entradas  (DCIP de Crédito Presumido) em período de referência diverso  da saída em operação ou prestação contemplada com o benefício.</w:t>
            </w:r>
          </w:p>
          <w:p w:rsidR="006A329C" w:rsidRDefault="006A329C" w:rsidP="005907C7">
            <w:pPr>
              <w:spacing w:after="0" w:line="240" w:lineRule="auto"/>
              <w:rPr>
                <w:sz w:val="20"/>
                <w:szCs w:val="20"/>
              </w:rPr>
            </w:pPr>
          </w:p>
          <w:p w:rsidR="006A329C" w:rsidRPr="00EE625A" w:rsidRDefault="006A329C" w:rsidP="005907C7">
            <w:pPr>
              <w:spacing w:after="0" w:line="240" w:lineRule="auto"/>
              <w:rPr>
                <w:sz w:val="20"/>
                <w:szCs w:val="20"/>
              </w:rPr>
            </w:pPr>
            <w:r w:rsidRPr="00E70002">
              <w:rPr>
                <w:sz w:val="20"/>
                <w:szCs w:val="20"/>
              </w:rPr>
              <w:t>IMPORTANTE:</w:t>
            </w:r>
            <w:proofErr w:type="gramStart"/>
            <w:r w:rsidRPr="00E70002">
              <w:rPr>
                <w:sz w:val="20"/>
                <w:szCs w:val="20"/>
              </w:rPr>
              <w:t xml:space="preserve">  </w:t>
            </w:r>
            <w:proofErr w:type="gramEnd"/>
            <w:r w:rsidRPr="00E70002">
              <w:rPr>
                <w:sz w:val="20"/>
                <w:szCs w:val="20"/>
              </w:rPr>
              <w:t xml:space="preserve">deve ser gerado para a mesma referência em que foi apropriado o DCIP de </w:t>
            </w:r>
            <w:r w:rsidRPr="00E70002">
              <w:rPr>
                <w:sz w:val="20"/>
                <w:szCs w:val="20"/>
              </w:rPr>
              <w:lastRenderedPageBreak/>
              <w:t>Crédito Presumido aproveitado extemporaneamente.</w:t>
            </w:r>
          </w:p>
        </w:tc>
        <w:tc>
          <w:tcPr>
            <w:tcW w:w="1275" w:type="dxa"/>
            <w:tcBorders>
              <w:top w:val="single" w:sz="4" w:space="0" w:color="auto"/>
              <w:left w:val="single" w:sz="4" w:space="0" w:color="auto"/>
              <w:bottom w:val="single" w:sz="4" w:space="0" w:color="auto"/>
              <w:right w:val="single" w:sz="4" w:space="0" w:color="auto"/>
            </w:tcBorders>
            <w:vAlign w:val="center"/>
          </w:tcPr>
          <w:p w:rsidR="006A329C" w:rsidRPr="00EE625A" w:rsidRDefault="006A329C" w:rsidP="005907C7">
            <w:pPr>
              <w:spacing w:after="0" w:line="240" w:lineRule="auto"/>
              <w:jc w:val="center"/>
              <w:rPr>
                <w:rFonts w:ascii="Arial" w:hAnsi="Arial" w:cs="Arial"/>
              </w:rPr>
            </w:pPr>
            <w:r w:rsidRPr="00EE625A">
              <w:rPr>
                <w:rFonts w:ascii="Arial" w:hAnsi="Arial" w:cs="Arial"/>
              </w:rPr>
              <w:lastRenderedPageBreak/>
              <w:t>01/</w:t>
            </w:r>
            <w:r>
              <w:rPr>
                <w:rFonts w:ascii="Arial" w:hAnsi="Arial" w:cs="Arial"/>
              </w:rPr>
              <w:t>04/</w:t>
            </w:r>
            <w:r w:rsidRPr="00EE625A">
              <w:rPr>
                <w:rFonts w:ascii="Arial" w:hAnsi="Arial" w:cs="Arial"/>
              </w:rPr>
              <w:t>1</w:t>
            </w:r>
            <w:r>
              <w:rPr>
                <w:rFonts w:ascii="Arial" w:hAnsi="Arial" w:cs="Arial"/>
              </w:rPr>
              <w:t>7</w:t>
            </w:r>
          </w:p>
        </w:tc>
        <w:tc>
          <w:tcPr>
            <w:tcW w:w="993" w:type="dxa"/>
            <w:tcBorders>
              <w:top w:val="single" w:sz="4" w:space="0" w:color="auto"/>
              <w:left w:val="single" w:sz="4" w:space="0" w:color="auto"/>
              <w:bottom w:val="single" w:sz="4" w:space="0" w:color="auto"/>
              <w:right w:val="single" w:sz="4" w:space="0" w:color="auto"/>
            </w:tcBorders>
            <w:vAlign w:val="center"/>
          </w:tcPr>
          <w:p w:rsidR="006A329C" w:rsidRPr="00EE625A" w:rsidRDefault="006A329C" w:rsidP="005907C7">
            <w:pPr>
              <w:spacing w:after="0" w:line="240" w:lineRule="auto"/>
              <w:ind w:right="44"/>
              <w:rPr>
                <w:rFonts w:ascii="Arial" w:hAnsi="Arial" w:cs="Arial"/>
              </w:rPr>
            </w:pPr>
            <w:r w:rsidRPr="00EE625A">
              <w:rPr>
                <w:rFonts w:ascii="Arial" w:hAnsi="Arial" w:cs="Arial"/>
              </w:rPr>
              <w:t>Em vigor</w:t>
            </w:r>
          </w:p>
        </w:tc>
      </w:tr>
    </w:tbl>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Juntamente com a liberação do subtipo 15, será bloqueado o subtipo “13 - </w:t>
      </w:r>
      <w:r w:rsidRPr="00702B0F">
        <w:rPr>
          <w:rFonts w:ascii="Times New Roman" w:eastAsia="Times New Roman" w:hAnsi="Times New Roman"/>
          <w:sz w:val="24"/>
          <w:szCs w:val="24"/>
          <w:lang w:eastAsia="pt-BR"/>
        </w:rPr>
        <w:t>Estorno de débito em decorrência das condições previstas no TTD do benefício 471</w:t>
      </w:r>
      <w:r>
        <w:rPr>
          <w:rFonts w:ascii="Times New Roman" w:eastAsia="Times New Roman" w:hAnsi="Times New Roman"/>
          <w:sz w:val="24"/>
          <w:szCs w:val="24"/>
          <w:lang w:eastAsia="pt-BR"/>
        </w:rPr>
        <w:t>” do Tipo 4 - Estorno de Débito.</w:t>
      </w: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spacing w:after="0" w:line="240" w:lineRule="auto"/>
        <w:jc w:val="both"/>
        <w:rPr>
          <w:rFonts w:ascii="Times New Roman" w:eastAsia="Times New Roman" w:hAnsi="Times New Roman"/>
          <w:sz w:val="24"/>
          <w:szCs w:val="24"/>
          <w:lang w:eastAsia="pt-BR"/>
        </w:rPr>
      </w:pPr>
    </w:p>
    <w:p w:rsidR="006A329C" w:rsidRDefault="006A329C" w:rsidP="006A329C">
      <w:pPr>
        <w:pStyle w:val="NormalWeb"/>
        <w:spacing w:before="0" w:beforeAutospacing="0" w:after="0" w:afterAutospacing="0"/>
        <w:jc w:val="both"/>
      </w:pPr>
      <w:r w:rsidRPr="00197A1F">
        <w:rPr>
          <w:b/>
        </w:rPr>
        <w:t xml:space="preserve">2 - </w:t>
      </w:r>
      <w:r w:rsidR="00D34FF0">
        <w:rPr>
          <w:b/>
        </w:rPr>
        <w:t>Foram</w:t>
      </w:r>
      <w:r w:rsidRPr="00197A1F">
        <w:rPr>
          <w:b/>
        </w:rPr>
        <w:t xml:space="preserve"> acrescidos no Anexo I da Portaria SEF nº 287/11</w:t>
      </w:r>
      <w:r>
        <w:t xml:space="preserve"> </w:t>
      </w:r>
      <w:r w:rsidR="00D34FF0">
        <w:rPr>
          <w:b/>
        </w:rPr>
        <w:t>pela Portaria SEF nº 077, de 07/03/17</w:t>
      </w:r>
      <w:r w:rsidR="00D34FF0">
        <w:t xml:space="preserve"> </w:t>
      </w:r>
      <w:r>
        <w:t>(</w:t>
      </w:r>
      <w:r w:rsidRPr="00EE162D">
        <w:t>instruções adicionais para a geração dos arquivos da EFD</w:t>
      </w:r>
      <w:r>
        <w:t>):</w:t>
      </w:r>
    </w:p>
    <w:p w:rsidR="006A329C" w:rsidRDefault="006A329C" w:rsidP="006A329C">
      <w:pPr>
        <w:spacing w:after="0" w:line="240" w:lineRule="auto"/>
        <w:jc w:val="both"/>
        <w:rPr>
          <w:rFonts w:ascii="Times New Roman" w:eastAsia="Times New Roman" w:hAnsi="Times New Roman"/>
          <w:b/>
          <w:sz w:val="24"/>
          <w:szCs w:val="24"/>
          <w:lang w:eastAsia="pt-BR"/>
        </w:rPr>
      </w:pPr>
    </w:p>
    <w:p w:rsidR="006A329C" w:rsidRPr="00EE162D" w:rsidRDefault="006A329C" w:rsidP="006A329C">
      <w:pPr>
        <w:spacing w:after="0" w:line="240" w:lineRule="auto"/>
        <w:jc w:val="both"/>
        <w:rPr>
          <w:rFonts w:ascii="Times New Roman" w:eastAsia="Times New Roman" w:hAnsi="Times New Roman"/>
          <w:sz w:val="24"/>
          <w:szCs w:val="24"/>
          <w:lang w:eastAsia="pt-BR"/>
        </w:rPr>
      </w:pPr>
      <w:r w:rsidRPr="0014358B">
        <w:rPr>
          <w:rFonts w:ascii="Times New Roman" w:eastAsia="Times New Roman" w:hAnsi="Times New Roman"/>
          <w:b/>
          <w:sz w:val="24"/>
          <w:szCs w:val="24"/>
          <w:lang w:eastAsia="pt-BR"/>
        </w:rPr>
        <w:t>2.1 - Ajuste destinado ao lançamento de “Débito Especial”</w:t>
      </w:r>
      <w:r>
        <w:rPr>
          <w:rFonts w:ascii="Times New Roman" w:eastAsia="Times New Roman" w:hAnsi="Times New Roman"/>
          <w:sz w:val="24"/>
          <w:szCs w:val="24"/>
          <w:lang w:eastAsia="pt-BR"/>
        </w:rPr>
        <w:t>, para informar</w:t>
      </w:r>
      <w:r w:rsidRPr="00C411C9">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o valor do </w:t>
      </w:r>
      <w:r w:rsidRPr="00C411C9">
        <w:rPr>
          <w:rFonts w:ascii="Times New Roman" w:eastAsia="Times New Roman" w:hAnsi="Times New Roman"/>
          <w:sz w:val="24"/>
          <w:szCs w:val="24"/>
          <w:lang w:eastAsia="pt-BR"/>
        </w:rPr>
        <w:t>débito igual ao apurado no item 199 do Quadro 14</w:t>
      </w:r>
      <w:r>
        <w:rPr>
          <w:rFonts w:ascii="Times New Roman" w:eastAsia="Times New Roman" w:hAnsi="Times New Roman"/>
          <w:sz w:val="24"/>
          <w:szCs w:val="24"/>
          <w:lang w:eastAsia="pt-BR"/>
        </w:rPr>
        <w:t xml:space="preserve"> da DIME:</w:t>
      </w:r>
    </w:p>
    <w:p w:rsidR="006A329C" w:rsidRDefault="006A329C" w:rsidP="006A329C">
      <w:pPr>
        <w:spacing w:after="0" w:line="240" w:lineRule="auto"/>
        <w:jc w:val="both"/>
        <w:rPr>
          <w:b/>
          <w:sz w:val="24"/>
          <w:szCs w:val="24"/>
        </w:rPr>
      </w:pPr>
    </w:p>
    <w:tbl>
      <w:tblPr>
        <w:tblW w:w="5000" w:type="pct"/>
        <w:tblCellMar>
          <w:left w:w="0" w:type="dxa"/>
          <w:right w:w="0" w:type="dxa"/>
        </w:tblCellMar>
        <w:tblLook w:val="04A0" w:firstRow="1" w:lastRow="0" w:firstColumn="1" w:lastColumn="0" w:noHBand="0" w:noVBand="1"/>
      </w:tblPr>
      <w:tblGrid>
        <w:gridCol w:w="1550"/>
        <w:gridCol w:w="3493"/>
        <w:gridCol w:w="4527"/>
      </w:tblGrid>
      <w:tr w:rsidR="006A329C" w:rsidRPr="005506BB" w:rsidTr="005907C7">
        <w:trPr>
          <w:trHeight w:val="253"/>
        </w:trPr>
        <w:tc>
          <w:tcPr>
            <w:tcW w:w="8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329C" w:rsidRPr="007E2BB7" w:rsidRDefault="006A329C" w:rsidP="005907C7">
            <w:pPr>
              <w:spacing w:after="0" w:line="240" w:lineRule="auto"/>
              <w:jc w:val="both"/>
              <w:rPr>
                <w:rFonts w:eastAsia="Times New Roman" w:cs="Times New Roman"/>
                <w:lang w:eastAsia="pt-BR"/>
              </w:rPr>
            </w:pPr>
            <w:r w:rsidRPr="007E2BB7">
              <w:rPr>
                <w:rFonts w:eastAsia="Times New Roman" w:cs="Times New Roman"/>
                <w:lang w:eastAsia="pt-BR"/>
              </w:rPr>
              <w:t> </w:t>
            </w:r>
          </w:p>
        </w:tc>
        <w:tc>
          <w:tcPr>
            <w:tcW w:w="1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29C" w:rsidRPr="007E2BB7" w:rsidRDefault="006A329C" w:rsidP="005907C7">
            <w:pPr>
              <w:spacing w:after="0" w:line="240" w:lineRule="auto"/>
              <w:jc w:val="both"/>
              <w:rPr>
                <w:rFonts w:eastAsia="Times New Roman" w:cs="Times New Roman"/>
                <w:lang w:eastAsia="pt-BR"/>
              </w:rPr>
            </w:pPr>
            <w:proofErr w:type="gramStart"/>
            <w:r w:rsidRPr="007E2BB7">
              <w:rPr>
                <w:rFonts w:eastAsia="Times New Roman" w:cs="Times New Roman"/>
                <w:lang w:eastAsia="pt-BR"/>
              </w:rPr>
              <w:t>5 - Débito</w:t>
            </w:r>
            <w:proofErr w:type="gramEnd"/>
            <w:r w:rsidRPr="007E2BB7">
              <w:rPr>
                <w:rFonts w:eastAsia="Times New Roman" w:cs="Times New Roman"/>
                <w:lang w:eastAsia="pt-BR"/>
              </w:rPr>
              <w:t xml:space="preserve"> Especial</w:t>
            </w:r>
          </w:p>
        </w:tc>
        <w:tc>
          <w:tcPr>
            <w:tcW w:w="2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29C" w:rsidRPr="007E2BB7" w:rsidRDefault="006A329C" w:rsidP="005907C7">
            <w:pPr>
              <w:spacing w:after="0" w:line="240" w:lineRule="auto"/>
              <w:jc w:val="both"/>
              <w:rPr>
                <w:rFonts w:eastAsia="Times New Roman" w:cs="Times New Roman"/>
                <w:lang w:eastAsia="pt-BR"/>
              </w:rPr>
            </w:pPr>
            <w:r w:rsidRPr="007E2BB7">
              <w:rPr>
                <w:rFonts w:eastAsia="Times New Roman" w:cs="Times New Roman"/>
                <w:lang w:eastAsia="pt-BR"/>
              </w:rPr>
              <w:t> </w:t>
            </w:r>
          </w:p>
        </w:tc>
      </w:tr>
      <w:tr w:rsidR="006A329C" w:rsidRPr="007E2BB7" w:rsidTr="005907C7">
        <w:trPr>
          <w:trHeight w:val="253"/>
        </w:trPr>
        <w:tc>
          <w:tcPr>
            <w:tcW w:w="8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329C" w:rsidRPr="007E2BB7" w:rsidRDefault="006A329C" w:rsidP="005907C7">
            <w:pPr>
              <w:spacing w:after="0" w:line="240" w:lineRule="auto"/>
              <w:jc w:val="both"/>
              <w:rPr>
                <w:rFonts w:eastAsia="Times New Roman" w:cs="Times New Roman"/>
                <w:lang w:eastAsia="pt-BR"/>
              </w:rPr>
            </w:pPr>
            <w:r w:rsidRPr="007E2BB7">
              <w:rPr>
                <w:rFonts w:eastAsia="Times New Roman" w:cs="Times New Roman"/>
                <w:lang w:eastAsia="pt-BR"/>
              </w:rPr>
              <w:t>SC050003</w:t>
            </w:r>
          </w:p>
        </w:tc>
        <w:tc>
          <w:tcPr>
            <w:tcW w:w="1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29C" w:rsidRDefault="006A329C" w:rsidP="005907C7">
            <w:pPr>
              <w:spacing w:after="0" w:line="240" w:lineRule="auto"/>
              <w:jc w:val="both"/>
              <w:rPr>
                <w:rFonts w:eastAsia="Times New Roman" w:cs="Times New Roman"/>
                <w:lang w:eastAsia="pt-BR"/>
              </w:rPr>
            </w:pPr>
            <w:r w:rsidRPr="007E2BB7">
              <w:rPr>
                <w:rFonts w:eastAsia="Times New Roman" w:cs="Times New Roman"/>
                <w:lang w:eastAsia="pt-BR"/>
              </w:rPr>
              <w:t xml:space="preserve">ICMS devido pela saída beneficiada por crédito presumido em substituição aos créditos pelas entradas, </w:t>
            </w:r>
            <w:r w:rsidR="000A77F5" w:rsidRPr="000A77F5">
              <w:rPr>
                <w:rFonts w:eastAsia="Times New Roman" w:cs="Times New Roman"/>
                <w:lang w:eastAsia="pt-BR"/>
              </w:rPr>
              <w:t>apurado conforme</w:t>
            </w:r>
            <w:r w:rsidRPr="007E2BB7">
              <w:rPr>
                <w:rFonts w:eastAsia="Times New Roman" w:cs="Times New Roman"/>
                <w:lang w:eastAsia="pt-BR"/>
              </w:rPr>
              <w:t xml:space="preserve"> An2, art. 23, V.</w:t>
            </w:r>
          </w:p>
          <w:p w:rsidR="000A77F5" w:rsidRPr="000A77F5" w:rsidRDefault="000A77F5" w:rsidP="005907C7">
            <w:pPr>
              <w:spacing w:after="0" w:line="240" w:lineRule="auto"/>
              <w:jc w:val="both"/>
              <w:rPr>
                <w:rFonts w:eastAsia="Times New Roman" w:cs="Times New Roman"/>
                <w:b/>
                <w:lang w:eastAsia="pt-BR"/>
              </w:rPr>
            </w:pPr>
          </w:p>
        </w:tc>
        <w:tc>
          <w:tcPr>
            <w:tcW w:w="2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F5" w:rsidRPr="007E2BB7" w:rsidRDefault="006A329C" w:rsidP="000A77F5">
            <w:pPr>
              <w:spacing w:after="0" w:line="240" w:lineRule="auto"/>
              <w:jc w:val="both"/>
              <w:rPr>
                <w:rFonts w:eastAsia="Times New Roman" w:cs="Times New Roman"/>
                <w:lang w:eastAsia="pt-BR"/>
              </w:rPr>
            </w:pPr>
            <w:r w:rsidRPr="007E2BB7">
              <w:rPr>
                <w:rFonts w:eastAsia="Times New Roman" w:cs="Times New Roman"/>
                <w:lang w:eastAsia="pt-BR"/>
              </w:rPr>
              <w:t xml:space="preserve">Informar o valor do ICMS resultante da apuração em separado </w:t>
            </w:r>
            <w:r w:rsidR="000A77F5" w:rsidRPr="000A77F5">
              <w:rPr>
                <w:rFonts w:eastAsia="Times New Roman" w:cs="Times New Roman"/>
                <w:lang w:eastAsia="pt-BR"/>
              </w:rPr>
              <w:t xml:space="preserve">conforme previsto </w:t>
            </w:r>
            <w:r w:rsidRPr="007E2BB7">
              <w:rPr>
                <w:rFonts w:eastAsia="Times New Roman" w:cs="Times New Roman"/>
                <w:lang w:eastAsia="pt-BR"/>
              </w:rPr>
              <w:t>no An2, Art. 23, V, nas saídas em operações e prestações beneficiadas pelo crédito presumido em substituição ais créditos pelas entradas, e demonstrado conforme disposto em Portaria do Secretario do Estado da Fazenda.</w:t>
            </w:r>
          </w:p>
        </w:tc>
      </w:tr>
    </w:tbl>
    <w:p w:rsidR="006A329C" w:rsidRDefault="006A329C" w:rsidP="006A329C">
      <w:pPr>
        <w:spacing w:after="0" w:line="240" w:lineRule="auto"/>
        <w:jc w:val="both"/>
        <w:rPr>
          <w:b/>
          <w:sz w:val="24"/>
          <w:szCs w:val="24"/>
        </w:rPr>
      </w:pPr>
    </w:p>
    <w:p w:rsidR="006A329C" w:rsidRPr="00EE162D" w:rsidRDefault="006A329C" w:rsidP="006A329C">
      <w:pPr>
        <w:spacing w:after="0" w:line="240" w:lineRule="auto"/>
        <w:jc w:val="both"/>
        <w:rPr>
          <w:rFonts w:ascii="Times New Roman" w:eastAsia="Times New Roman" w:hAnsi="Times New Roman"/>
          <w:sz w:val="24"/>
          <w:szCs w:val="24"/>
          <w:lang w:eastAsia="pt-BR"/>
        </w:rPr>
      </w:pPr>
      <w:r w:rsidRPr="00EE162D">
        <w:rPr>
          <w:rFonts w:ascii="Times New Roman" w:eastAsia="Times New Roman" w:hAnsi="Times New Roman"/>
          <w:b/>
          <w:sz w:val="24"/>
          <w:szCs w:val="24"/>
          <w:lang w:eastAsia="pt-BR"/>
        </w:rPr>
        <w:t>2.2. Ajuste para lançamento de “Estorno de Débito”</w:t>
      </w:r>
      <w:r>
        <w:rPr>
          <w:rFonts w:ascii="Times New Roman" w:eastAsia="Times New Roman" w:hAnsi="Times New Roman"/>
          <w:b/>
          <w:sz w:val="24"/>
          <w:szCs w:val="24"/>
          <w:lang w:eastAsia="pt-BR"/>
        </w:rPr>
        <w:t xml:space="preserve">, </w:t>
      </w:r>
      <w:r w:rsidRPr="00C411C9">
        <w:rPr>
          <w:rFonts w:ascii="Times New Roman" w:eastAsia="Times New Roman" w:hAnsi="Times New Roman"/>
          <w:sz w:val="24"/>
          <w:szCs w:val="24"/>
          <w:lang w:eastAsia="pt-BR"/>
        </w:rPr>
        <w:t xml:space="preserve">para estornar o débito </w:t>
      </w:r>
      <w:r>
        <w:rPr>
          <w:rFonts w:ascii="Times New Roman" w:eastAsia="Times New Roman" w:hAnsi="Times New Roman"/>
          <w:sz w:val="24"/>
          <w:szCs w:val="24"/>
          <w:lang w:eastAsia="pt-BR"/>
        </w:rPr>
        <w:t xml:space="preserve">da apuração geral do mês, em que foi lançado como </w:t>
      </w:r>
      <w:r w:rsidRPr="00C411C9">
        <w:rPr>
          <w:rFonts w:ascii="Times New Roman" w:eastAsia="Times New Roman" w:hAnsi="Times New Roman"/>
          <w:sz w:val="24"/>
          <w:szCs w:val="24"/>
          <w:lang w:eastAsia="pt-BR"/>
        </w:rPr>
        <w:t xml:space="preserve">ajuste do Débito </w:t>
      </w:r>
      <w:r>
        <w:rPr>
          <w:rFonts w:ascii="Times New Roman" w:eastAsia="Times New Roman" w:hAnsi="Times New Roman"/>
          <w:sz w:val="24"/>
          <w:szCs w:val="24"/>
          <w:lang w:eastAsia="pt-BR"/>
        </w:rPr>
        <w:t>E</w:t>
      </w:r>
      <w:r w:rsidRPr="00C411C9">
        <w:rPr>
          <w:rFonts w:ascii="Times New Roman" w:eastAsia="Times New Roman" w:hAnsi="Times New Roman"/>
          <w:sz w:val="24"/>
          <w:szCs w:val="24"/>
          <w:lang w:eastAsia="pt-BR"/>
        </w:rPr>
        <w:t>special</w:t>
      </w:r>
      <w:r>
        <w:rPr>
          <w:rFonts w:ascii="Times New Roman" w:eastAsia="Times New Roman" w:hAnsi="Times New Roman"/>
          <w:sz w:val="24"/>
          <w:szCs w:val="24"/>
          <w:lang w:eastAsia="pt-BR"/>
        </w:rPr>
        <w:t>:</w:t>
      </w:r>
    </w:p>
    <w:p w:rsidR="006A329C" w:rsidRDefault="006A329C" w:rsidP="006A329C">
      <w:pPr>
        <w:spacing w:after="0" w:line="240" w:lineRule="auto"/>
        <w:jc w:val="both"/>
        <w:rPr>
          <w:b/>
          <w:sz w:val="24"/>
          <w:szCs w:val="24"/>
        </w:rPr>
      </w:pPr>
    </w:p>
    <w:tbl>
      <w:tblPr>
        <w:tblW w:w="5000" w:type="pct"/>
        <w:tblCellMar>
          <w:left w:w="0" w:type="dxa"/>
          <w:right w:w="0" w:type="dxa"/>
        </w:tblCellMar>
        <w:tblLook w:val="04A0" w:firstRow="1" w:lastRow="0" w:firstColumn="1" w:lastColumn="0" w:noHBand="0" w:noVBand="1"/>
      </w:tblPr>
      <w:tblGrid>
        <w:gridCol w:w="1550"/>
        <w:gridCol w:w="3493"/>
        <w:gridCol w:w="4527"/>
      </w:tblGrid>
      <w:tr w:rsidR="006A329C" w:rsidRPr="005506BB" w:rsidTr="005907C7">
        <w:trPr>
          <w:trHeight w:val="253"/>
        </w:trPr>
        <w:tc>
          <w:tcPr>
            <w:tcW w:w="8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329C" w:rsidRPr="005506BB" w:rsidRDefault="006A329C" w:rsidP="005907C7">
            <w:pPr>
              <w:spacing w:after="0" w:line="240" w:lineRule="auto"/>
              <w:jc w:val="both"/>
              <w:rPr>
                <w:rFonts w:ascii="Times New Roman" w:eastAsia="Times New Roman" w:hAnsi="Times New Roman" w:cs="Times New Roman"/>
                <w:sz w:val="20"/>
                <w:szCs w:val="20"/>
                <w:lang w:eastAsia="pt-BR"/>
              </w:rPr>
            </w:pPr>
            <w:r w:rsidRPr="005506BB">
              <w:rPr>
                <w:rFonts w:ascii="Times New Roman" w:eastAsia="Times New Roman" w:hAnsi="Times New Roman" w:cs="Times New Roman"/>
                <w:sz w:val="20"/>
                <w:szCs w:val="20"/>
                <w:lang w:eastAsia="pt-BR"/>
              </w:rPr>
              <w:t> </w:t>
            </w:r>
          </w:p>
        </w:tc>
        <w:tc>
          <w:tcPr>
            <w:tcW w:w="1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29C" w:rsidRPr="005506BB" w:rsidRDefault="006A329C" w:rsidP="005907C7">
            <w:pPr>
              <w:spacing w:after="0" w:line="240" w:lineRule="auto"/>
              <w:jc w:val="both"/>
              <w:rPr>
                <w:rFonts w:ascii="Times New Roman" w:eastAsia="Times New Roman" w:hAnsi="Times New Roman" w:cs="Times New Roman"/>
                <w:sz w:val="20"/>
                <w:szCs w:val="20"/>
                <w:lang w:eastAsia="pt-BR"/>
              </w:rPr>
            </w:pPr>
            <w:proofErr w:type="gramStart"/>
            <w:r w:rsidRPr="00610C8E">
              <w:rPr>
                <w:rFonts w:ascii="Times New Roman" w:eastAsia="Times New Roman" w:hAnsi="Times New Roman" w:cs="Times New Roman"/>
                <w:sz w:val="20"/>
                <w:szCs w:val="20"/>
                <w:lang w:eastAsia="pt-BR"/>
              </w:rPr>
              <w:t xml:space="preserve">3 </w:t>
            </w:r>
            <w:r>
              <w:rPr>
                <w:rFonts w:ascii="Times New Roman" w:eastAsia="Times New Roman" w:hAnsi="Times New Roman" w:cs="Times New Roman"/>
                <w:sz w:val="20"/>
                <w:szCs w:val="20"/>
                <w:lang w:eastAsia="pt-BR"/>
              </w:rPr>
              <w:t>-</w:t>
            </w:r>
            <w:r w:rsidR="000A77F5">
              <w:rPr>
                <w:rFonts w:ascii="Times New Roman" w:eastAsia="Times New Roman" w:hAnsi="Times New Roman" w:cs="Times New Roman"/>
                <w:sz w:val="20"/>
                <w:szCs w:val="20"/>
                <w:lang w:eastAsia="pt-BR"/>
              </w:rPr>
              <w:t xml:space="preserve"> </w:t>
            </w:r>
            <w:r w:rsidRPr="00610C8E">
              <w:rPr>
                <w:rFonts w:ascii="Times New Roman" w:eastAsia="Times New Roman" w:hAnsi="Times New Roman" w:cs="Times New Roman"/>
                <w:sz w:val="20"/>
                <w:szCs w:val="20"/>
                <w:lang w:eastAsia="pt-BR"/>
              </w:rPr>
              <w:t>Estorno</w:t>
            </w:r>
            <w:proofErr w:type="gramEnd"/>
            <w:r w:rsidRPr="00610C8E">
              <w:rPr>
                <w:rFonts w:ascii="Times New Roman" w:eastAsia="Times New Roman" w:hAnsi="Times New Roman" w:cs="Times New Roman"/>
                <w:sz w:val="20"/>
                <w:szCs w:val="20"/>
                <w:lang w:eastAsia="pt-BR"/>
              </w:rPr>
              <w:t xml:space="preserve"> de débitos</w:t>
            </w:r>
          </w:p>
        </w:tc>
        <w:tc>
          <w:tcPr>
            <w:tcW w:w="2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29C" w:rsidRPr="005506BB" w:rsidRDefault="006A329C" w:rsidP="005907C7">
            <w:pPr>
              <w:spacing w:after="0" w:line="240" w:lineRule="auto"/>
              <w:jc w:val="both"/>
              <w:rPr>
                <w:rFonts w:ascii="Times New Roman" w:eastAsia="Times New Roman" w:hAnsi="Times New Roman" w:cs="Times New Roman"/>
                <w:sz w:val="20"/>
                <w:szCs w:val="20"/>
                <w:lang w:eastAsia="pt-BR"/>
              </w:rPr>
            </w:pPr>
            <w:r w:rsidRPr="005506BB">
              <w:rPr>
                <w:rFonts w:ascii="Times New Roman" w:eastAsia="Times New Roman" w:hAnsi="Times New Roman" w:cs="Times New Roman"/>
                <w:sz w:val="20"/>
                <w:szCs w:val="20"/>
                <w:lang w:eastAsia="pt-BR"/>
              </w:rPr>
              <w:t> </w:t>
            </w:r>
          </w:p>
        </w:tc>
      </w:tr>
      <w:tr w:rsidR="006A329C" w:rsidRPr="007E2BB7" w:rsidTr="005907C7">
        <w:trPr>
          <w:trHeight w:val="253"/>
        </w:trPr>
        <w:tc>
          <w:tcPr>
            <w:tcW w:w="8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329C" w:rsidRPr="007E2BB7" w:rsidRDefault="006A329C" w:rsidP="005907C7">
            <w:pPr>
              <w:spacing w:after="0" w:line="240" w:lineRule="auto"/>
              <w:jc w:val="both"/>
              <w:rPr>
                <w:rFonts w:eastAsia="Times New Roman" w:cs="Times New Roman"/>
                <w:lang w:eastAsia="pt-BR"/>
              </w:rPr>
            </w:pPr>
            <w:r w:rsidRPr="007E2BB7">
              <w:t>SC030002</w:t>
            </w:r>
          </w:p>
        </w:tc>
        <w:tc>
          <w:tcPr>
            <w:tcW w:w="1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F5" w:rsidRPr="007E2BB7" w:rsidRDefault="006A329C" w:rsidP="000A77F5">
            <w:pPr>
              <w:spacing w:after="0" w:line="240" w:lineRule="auto"/>
              <w:jc w:val="both"/>
              <w:rPr>
                <w:rFonts w:eastAsia="Times New Roman" w:cs="Times New Roman"/>
                <w:lang w:eastAsia="pt-BR"/>
              </w:rPr>
            </w:pPr>
            <w:r w:rsidRPr="007E2BB7">
              <w:rPr>
                <w:rFonts w:eastAsia="Times New Roman" w:cs="Times New Roman"/>
                <w:lang w:eastAsia="pt-BR"/>
              </w:rPr>
              <w:t xml:space="preserve">Estorno de débito de mesmo valor do ICMS informado com a utilização </w:t>
            </w:r>
            <w:r w:rsidR="000A77F5">
              <w:rPr>
                <w:rFonts w:eastAsia="Times New Roman" w:cs="Times New Roman"/>
                <w:lang w:eastAsia="pt-BR"/>
              </w:rPr>
              <w:t>no</w:t>
            </w:r>
            <w:r w:rsidRPr="007E2BB7">
              <w:rPr>
                <w:rFonts w:eastAsia="Times New Roman" w:cs="Times New Roman"/>
                <w:lang w:eastAsia="pt-BR"/>
              </w:rPr>
              <w:t xml:space="preserve"> Ajuste </w:t>
            </w:r>
            <w:r w:rsidR="000A77F5">
              <w:rPr>
                <w:rFonts w:ascii="Arial" w:hAnsi="Arial" w:cs="Arial"/>
                <w:sz w:val="20"/>
                <w:szCs w:val="20"/>
              </w:rPr>
              <w:t>de débito especial com o código</w:t>
            </w:r>
            <w:r w:rsidR="000A77F5" w:rsidRPr="007E2BB7">
              <w:rPr>
                <w:rFonts w:eastAsia="Times New Roman" w:cs="Times New Roman"/>
                <w:lang w:eastAsia="pt-BR"/>
              </w:rPr>
              <w:t xml:space="preserve"> </w:t>
            </w:r>
            <w:r w:rsidRPr="007E2BB7">
              <w:rPr>
                <w:rFonts w:eastAsia="Times New Roman" w:cs="Times New Roman"/>
                <w:lang w:eastAsia="pt-BR"/>
              </w:rPr>
              <w:t>SC50003.</w:t>
            </w:r>
          </w:p>
        </w:tc>
        <w:tc>
          <w:tcPr>
            <w:tcW w:w="23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F5" w:rsidRPr="007E2BB7" w:rsidRDefault="006A329C" w:rsidP="000A77F5">
            <w:pPr>
              <w:spacing w:after="0" w:line="240" w:lineRule="auto"/>
              <w:jc w:val="both"/>
              <w:rPr>
                <w:rFonts w:eastAsia="Times New Roman" w:cs="Times New Roman"/>
                <w:lang w:eastAsia="pt-BR"/>
              </w:rPr>
            </w:pPr>
            <w:r w:rsidRPr="007E2BB7">
              <w:rPr>
                <w:rFonts w:eastAsia="Times New Roman" w:cs="Times New Roman"/>
                <w:lang w:eastAsia="pt-BR"/>
              </w:rPr>
              <w:t xml:space="preserve">Lançar </w:t>
            </w:r>
            <w:r w:rsidR="000A77F5">
              <w:rPr>
                <w:rFonts w:eastAsia="Times New Roman" w:cs="Times New Roman"/>
                <w:lang w:eastAsia="pt-BR"/>
              </w:rPr>
              <w:t>a</w:t>
            </w:r>
            <w:r w:rsidRPr="007E2BB7">
              <w:rPr>
                <w:rFonts w:eastAsia="Times New Roman" w:cs="Times New Roman"/>
                <w:lang w:eastAsia="pt-BR"/>
              </w:rPr>
              <w:t xml:space="preserve"> título de estorno de débito </w:t>
            </w:r>
            <w:r w:rsidR="000A77F5">
              <w:rPr>
                <w:rFonts w:eastAsia="Times New Roman" w:cs="Times New Roman"/>
                <w:lang w:eastAsia="pt-BR"/>
              </w:rPr>
              <w:t>do ICMS d</w:t>
            </w:r>
            <w:r w:rsidRPr="007E2BB7">
              <w:rPr>
                <w:rFonts w:eastAsia="Times New Roman" w:cs="Times New Roman"/>
                <w:lang w:eastAsia="pt-BR"/>
              </w:rPr>
              <w:t xml:space="preserve">o </w:t>
            </w:r>
            <w:r w:rsidR="000A77F5">
              <w:rPr>
                <w:rFonts w:eastAsia="Times New Roman" w:cs="Times New Roman"/>
                <w:lang w:eastAsia="pt-BR"/>
              </w:rPr>
              <w:t xml:space="preserve">mesmo </w:t>
            </w:r>
            <w:r w:rsidRPr="007E2BB7">
              <w:rPr>
                <w:rFonts w:eastAsia="Times New Roman" w:cs="Times New Roman"/>
                <w:lang w:eastAsia="pt-BR"/>
              </w:rPr>
              <w:t xml:space="preserve">mês o valor informado no Ajuste </w:t>
            </w:r>
            <w:r w:rsidR="000A77F5">
              <w:rPr>
                <w:rFonts w:ascii="Arial" w:hAnsi="Arial" w:cs="Arial"/>
                <w:sz w:val="20"/>
                <w:szCs w:val="20"/>
              </w:rPr>
              <w:t xml:space="preserve">de débito especial com o código </w:t>
            </w:r>
            <w:r w:rsidRPr="007E2BB7">
              <w:rPr>
                <w:rFonts w:eastAsia="Times New Roman" w:cs="Times New Roman"/>
                <w:lang w:eastAsia="pt-BR"/>
              </w:rPr>
              <w:t xml:space="preserve">SC50003, decorrente da apuração em separado </w:t>
            </w:r>
            <w:r w:rsidR="000A77F5">
              <w:rPr>
                <w:rFonts w:eastAsia="Times New Roman" w:cs="Times New Roman"/>
                <w:lang w:eastAsia="pt-BR"/>
              </w:rPr>
              <w:t>conforme</w:t>
            </w:r>
            <w:proofErr w:type="gramStart"/>
            <w:r w:rsidRPr="007E2BB7">
              <w:rPr>
                <w:rFonts w:eastAsia="Times New Roman" w:cs="Times New Roman"/>
                <w:lang w:eastAsia="pt-BR"/>
              </w:rPr>
              <w:t xml:space="preserve">  </w:t>
            </w:r>
            <w:proofErr w:type="gramEnd"/>
            <w:r w:rsidRPr="007E2BB7">
              <w:rPr>
                <w:rFonts w:eastAsia="Times New Roman" w:cs="Times New Roman"/>
                <w:lang w:eastAsia="pt-BR"/>
              </w:rPr>
              <w:t xml:space="preserve">determinado no </w:t>
            </w:r>
            <w:r w:rsidRPr="007E2BB7">
              <w:t>An2, Art. 23, V.</w:t>
            </w:r>
            <w:r w:rsidR="000A77F5" w:rsidRPr="007E2BB7">
              <w:rPr>
                <w:rFonts w:eastAsia="Times New Roman" w:cs="Times New Roman"/>
                <w:lang w:eastAsia="pt-BR"/>
              </w:rPr>
              <w:t xml:space="preserve"> </w:t>
            </w:r>
          </w:p>
        </w:tc>
      </w:tr>
    </w:tbl>
    <w:p w:rsidR="006A329C" w:rsidRDefault="006A329C" w:rsidP="006A329C">
      <w:pPr>
        <w:spacing w:after="0" w:line="240" w:lineRule="auto"/>
        <w:jc w:val="both"/>
        <w:rPr>
          <w:b/>
          <w:sz w:val="24"/>
          <w:szCs w:val="24"/>
        </w:rPr>
      </w:pPr>
    </w:p>
    <w:p w:rsidR="00374510" w:rsidRDefault="00374510" w:rsidP="00374510">
      <w:pPr>
        <w:spacing w:after="0" w:line="240" w:lineRule="auto"/>
        <w:jc w:val="both"/>
        <w:rPr>
          <w:b/>
          <w:sz w:val="24"/>
          <w:szCs w:val="24"/>
        </w:rPr>
      </w:pPr>
      <w:r>
        <w:rPr>
          <w:b/>
          <w:sz w:val="24"/>
          <w:szCs w:val="24"/>
        </w:rPr>
        <w:t xml:space="preserve">ATENÇÃO: quando no Quadro 14 for apurado “Saldo Credor </w:t>
      </w:r>
      <w:r w:rsidRPr="00821D85">
        <w:rPr>
          <w:b/>
          <w:sz w:val="24"/>
          <w:szCs w:val="24"/>
        </w:rPr>
        <w:t>das Antecipações para o Mês Seguinte</w:t>
      </w:r>
      <w:r>
        <w:rPr>
          <w:b/>
          <w:sz w:val="24"/>
          <w:szCs w:val="24"/>
        </w:rPr>
        <w:t xml:space="preserve"> - item 14198” não haverá repercussão na EFD, portanto, não deve gerado nenhum ajuste para lançar este valor.</w:t>
      </w:r>
    </w:p>
    <w:p w:rsidR="006A329C" w:rsidRDefault="006A329C" w:rsidP="006A329C">
      <w:pPr>
        <w:spacing w:after="0" w:line="240" w:lineRule="auto"/>
        <w:jc w:val="both"/>
        <w:rPr>
          <w:b/>
          <w:sz w:val="24"/>
          <w:szCs w:val="24"/>
        </w:rPr>
      </w:pPr>
    </w:p>
    <w:p w:rsidR="00374510" w:rsidRDefault="00374510" w:rsidP="006A329C">
      <w:pPr>
        <w:spacing w:after="0" w:line="240" w:lineRule="auto"/>
        <w:jc w:val="both"/>
        <w:rPr>
          <w:b/>
          <w:sz w:val="24"/>
          <w:szCs w:val="24"/>
        </w:rPr>
      </w:pPr>
    </w:p>
    <w:p w:rsidR="006A329C" w:rsidRPr="00182276" w:rsidRDefault="006A329C" w:rsidP="006A329C">
      <w:pPr>
        <w:spacing w:after="0" w:line="240" w:lineRule="auto"/>
        <w:jc w:val="both"/>
        <w:rPr>
          <w:rFonts w:ascii="Times New Roman" w:eastAsia="Times New Roman" w:hAnsi="Times New Roman"/>
          <w:b/>
          <w:sz w:val="24"/>
          <w:szCs w:val="24"/>
          <w:lang w:eastAsia="pt-BR"/>
        </w:rPr>
      </w:pPr>
      <w:r w:rsidRPr="00182276">
        <w:rPr>
          <w:rFonts w:ascii="Times New Roman" w:eastAsia="Times New Roman" w:hAnsi="Times New Roman"/>
          <w:b/>
          <w:sz w:val="24"/>
          <w:szCs w:val="24"/>
          <w:lang w:eastAsia="pt-BR"/>
        </w:rPr>
        <w:t xml:space="preserve">3 - Críticas do Validador On-Line da DIME para os Novos Itens e Quadro </w:t>
      </w:r>
      <w:r w:rsidR="00374510">
        <w:rPr>
          <w:rFonts w:ascii="Times New Roman" w:eastAsia="Times New Roman" w:hAnsi="Times New Roman"/>
          <w:b/>
          <w:sz w:val="24"/>
          <w:szCs w:val="24"/>
          <w:lang w:eastAsia="pt-BR"/>
        </w:rPr>
        <w:t>I</w:t>
      </w:r>
      <w:r w:rsidRPr="00182276">
        <w:rPr>
          <w:rFonts w:ascii="Times New Roman" w:eastAsia="Times New Roman" w:hAnsi="Times New Roman"/>
          <w:b/>
          <w:sz w:val="24"/>
          <w:szCs w:val="24"/>
          <w:lang w:eastAsia="pt-BR"/>
        </w:rPr>
        <w:t>ncluídos:</w:t>
      </w:r>
    </w:p>
    <w:p w:rsidR="006A329C" w:rsidRDefault="006A329C" w:rsidP="006A329C">
      <w:pPr>
        <w:spacing w:after="0" w:line="240" w:lineRule="auto"/>
        <w:jc w:val="both"/>
        <w:rPr>
          <w:rFonts w:ascii="Times New Roman" w:eastAsia="Times New Roman" w:hAnsi="Times New Roman"/>
          <w:sz w:val="24"/>
          <w:szCs w:val="24"/>
          <w:lang w:eastAsia="pt-BR"/>
        </w:rPr>
      </w:pPr>
    </w:p>
    <w:tbl>
      <w:tblPr>
        <w:tblStyle w:val="Tabelacomgrade"/>
        <w:tblW w:w="0" w:type="auto"/>
        <w:tblLayout w:type="fixed"/>
        <w:tblLook w:val="04A0" w:firstRow="1" w:lastRow="0" w:firstColumn="1" w:lastColumn="0" w:noHBand="0" w:noVBand="1"/>
      </w:tblPr>
      <w:tblGrid>
        <w:gridCol w:w="817"/>
        <w:gridCol w:w="851"/>
        <w:gridCol w:w="708"/>
        <w:gridCol w:w="7194"/>
      </w:tblGrid>
      <w:tr w:rsidR="006A329C" w:rsidTr="005907C7">
        <w:tc>
          <w:tcPr>
            <w:tcW w:w="817" w:type="dxa"/>
          </w:tcPr>
          <w:p w:rsidR="006A329C" w:rsidRDefault="006A329C" w:rsidP="005907C7">
            <w:pPr>
              <w:jc w:val="both"/>
              <w:rPr>
                <w:b/>
                <w:sz w:val="24"/>
                <w:szCs w:val="24"/>
              </w:rPr>
            </w:pPr>
            <w:r>
              <w:rPr>
                <w:b/>
                <w:sz w:val="24"/>
                <w:szCs w:val="24"/>
              </w:rPr>
              <w:t>Quadro</w:t>
            </w:r>
          </w:p>
        </w:tc>
        <w:tc>
          <w:tcPr>
            <w:tcW w:w="851" w:type="dxa"/>
          </w:tcPr>
          <w:p w:rsidR="006A329C" w:rsidRDefault="006A329C" w:rsidP="005907C7">
            <w:pPr>
              <w:jc w:val="both"/>
              <w:rPr>
                <w:b/>
                <w:sz w:val="24"/>
                <w:szCs w:val="24"/>
              </w:rPr>
            </w:pPr>
            <w:r>
              <w:rPr>
                <w:b/>
                <w:sz w:val="24"/>
                <w:szCs w:val="24"/>
              </w:rPr>
              <w:t>Registro</w:t>
            </w:r>
          </w:p>
        </w:tc>
        <w:tc>
          <w:tcPr>
            <w:tcW w:w="708" w:type="dxa"/>
          </w:tcPr>
          <w:p w:rsidR="006A329C" w:rsidRDefault="006A329C" w:rsidP="005907C7">
            <w:pPr>
              <w:jc w:val="both"/>
              <w:rPr>
                <w:b/>
                <w:sz w:val="24"/>
                <w:szCs w:val="24"/>
              </w:rPr>
            </w:pPr>
            <w:r>
              <w:rPr>
                <w:b/>
                <w:sz w:val="24"/>
                <w:szCs w:val="24"/>
              </w:rPr>
              <w:t>Item</w:t>
            </w:r>
          </w:p>
        </w:tc>
        <w:tc>
          <w:tcPr>
            <w:tcW w:w="7194" w:type="dxa"/>
          </w:tcPr>
          <w:p w:rsidR="006A329C" w:rsidRDefault="006A329C" w:rsidP="005907C7">
            <w:pPr>
              <w:jc w:val="both"/>
              <w:rPr>
                <w:b/>
                <w:sz w:val="24"/>
                <w:szCs w:val="24"/>
              </w:rPr>
            </w:pPr>
            <w:r>
              <w:rPr>
                <w:b/>
                <w:sz w:val="24"/>
                <w:szCs w:val="24"/>
              </w:rPr>
              <w:t>Validação</w:t>
            </w:r>
          </w:p>
        </w:tc>
      </w:tr>
      <w:tr w:rsidR="006A329C" w:rsidTr="005907C7">
        <w:tc>
          <w:tcPr>
            <w:tcW w:w="817" w:type="dxa"/>
            <w:vMerge w:val="restart"/>
            <w:vAlign w:val="center"/>
          </w:tcPr>
          <w:p w:rsidR="006A329C" w:rsidRDefault="006A329C" w:rsidP="005907C7">
            <w:pPr>
              <w:rPr>
                <w:b/>
                <w:sz w:val="24"/>
                <w:szCs w:val="24"/>
              </w:rPr>
            </w:pPr>
            <w:r>
              <w:rPr>
                <w:b/>
                <w:sz w:val="24"/>
                <w:szCs w:val="24"/>
              </w:rPr>
              <w:t>09</w:t>
            </w:r>
          </w:p>
        </w:tc>
        <w:tc>
          <w:tcPr>
            <w:tcW w:w="851" w:type="dxa"/>
            <w:vMerge w:val="restart"/>
            <w:vAlign w:val="center"/>
          </w:tcPr>
          <w:p w:rsidR="006A329C" w:rsidRDefault="006A329C" w:rsidP="005907C7">
            <w:pPr>
              <w:rPr>
                <w:b/>
                <w:sz w:val="24"/>
                <w:szCs w:val="24"/>
              </w:rPr>
            </w:pPr>
            <w:r>
              <w:rPr>
                <w:b/>
                <w:sz w:val="24"/>
                <w:szCs w:val="24"/>
              </w:rPr>
              <w:t>30</w:t>
            </w:r>
          </w:p>
        </w:tc>
        <w:tc>
          <w:tcPr>
            <w:tcW w:w="708" w:type="dxa"/>
          </w:tcPr>
          <w:p w:rsidR="006A329C" w:rsidRDefault="006A329C" w:rsidP="005907C7">
            <w:pPr>
              <w:jc w:val="both"/>
              <w:rPr>
                <w:b/>
                <w:sz w:val="24"/>
                <w:szCs w:val="24"/>
              </w:rPr>
            </w:pPr>
            <w:r>
              <w:rPr>
                <w:b/>
                <w:sz w:val="24"/>
                <w:szCs w:val="24"/>
              </w:rPr>
              <w:t>036</w:t>
            </w:r>
          </w:p>
        </w:tc>
        <w:tc>
          <w:tcPr>
            <w:tcW w:w="7194" w:type="dxa"/>
          </w:tcPr>
          <w:p w:rsidR="006A329C" w:rsidRPr="00C50E49" w:rsidRDefault="006A329C" w:rsidP="005907C7">
            <w:pPr>
              <w:jc w:val="both"/>
            </w:pPr>
            <w:r w:rsidRPr="00C50E49">
              <w:t>- Verifica se existe DCIP do Tipo 3 – Crédito Presumido informado na DIME</w:t>
            </w:r>
          </w:p>
          <w:p w:rsidR="006A329C" w:rsidRPr="00C50E49" w:rsidRDefault="006A329C" w:rsidP="005907C7">
            <w:pPr>
              <w:jc w:val="both"/>
            </w:pPr>
            <w:r w:rsidRPr="00C50E49">
              <w:t>- Verifica se existe o item 030 do quadro 14 com mesmo valor</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037</w:t>
            </w:r>
          </w:p>
        </w:tc>
        <w:tc>
          <w:tcPr>
            <w:tcW w:w="7194" w:type="dxa"/>
          </w:tcPr>
          <w:p w:rsidR="006A329C" w:rsidRPr="00C50E49" w:rsidRDefault="006A329C" w:rsidP="005907C7">
            <w:pPr>
              <w:jc w:val="both"/>
            </w:pPr>
            <w:r w:rsidRPr="00C50E49">
              <w:t xml:space="preserve">- Verifica se existe do Tipo 2 – Outros Créditos, subtipo 34 informado na </w:t>
            </w:r>
            <w:proofErr w:type="gramStart"/>
            <w:r w:rsidRPr="00C50E49">
              <w:t>DIME</w:t>
            </w:r>
            <w:proofErr w:type="gramEnd"/>
          </w:p>
          <w:p w:rsidR="006A329C" w:rsidRPr="00C50E49" w:rsidRDefault="006A329C" w:rsidP="005907C7">
            <w:pPr>
              <w:jc w:val="both"/>
            </w:pPr>
            <w:r w:rsidRPr="00C50E49">
              <w:t>- Verifica se existe o item 120 no quadro 14 com o mesmo valor</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076</w:t>
            </w:r>
          </w:p>
        </w:tc>
        <w:tc>
          <w:tcPr>
            <w:tcW w:w="7194" w:type="dxa"/>
          </w:tcPr>
          <w:p w:rsidR="006A329C" w:rsidRPr="00C50E49" w:rsidRDefault="006A329C" w:rsidP="005907C7">
            <w:pPr>
              <w:jc w:val="both"/>
            </w:pPr>
            <w:r>
              <w:t xml:space="preserve">- </w:t>
            </w:r>
            <w:r w:rsidRPr="00C50E49">
              <w:t>Valor deve ser menor ou igual ao informado no item 010 do quadro 04</w:t>
            </w:r>
          </w:p>
          <w:p w:rsidR="006A329C" w:rsidRPr="00C50E49" w:rsidRDefault="006A329C" w:rsidP="005907C7">
            <w:pPr>
              <w:jc w:val="both"/>
            </w:pPr>
            <w:r w:rsidRPr="00C50E49">
              <w:t>- Verifica se existe o item 020 do quadro 14 com mesmo valor</w:t>
            </w:r>
          </w:p>
        </w:tc>
      </w:tr>
      <w:tr w:rsidR="006A329C" w:rsidTr="005907C7">
        <w:tc>
          <w:tcPr>
            <w:tcW w:w="817" w:type="dxa"/>
          </w:tcPr>
          <w:p w:rsidR="006A329C" w:rsidRDefault="006A329C" w:rsidP="005907C7">
            <w:pPr>
              <w:jc w:val="both"/>
              <w:rPr>
                <w:b/>
                <w:sz w:val="24"/>
                <w:szCs w:val="24"/>
              </w:rPr>
            </w:pPr>
            <w:r>
              <w:rPr>
                <w:b/>
                <w:sz w:val="24"/>
                <w:szCs w:val="24"/>
              </w:rPr>
              <w:t>12</w:t>
            </w:r>
          </w:p>
        </w:tc>
        <w:tc>
          <w:tcPr>
            <w:tcW w:w="851" w:type="dxa"/>
          </w:tcPr>
          <w:p w:rsidR="006A329C" w:rsidRDefault="006A329C" w:rsidP="005907C7">
            <w:pPr>
              <w:jc w:val="both"/>
              <w:rPr>
                <w:b/>
                <w:sz w:val="24"/>
                <w:szCs w:val="24"/>
              </w:rPr>
            </w:pPr>
            <w:r>
              <w:rPr>
                <w:b/>
                <w:sz w:val="24"/>
                <w:szCs w:val="24"/>
              </w:rPr>
              <w:t>33</w:t>
            </w:r>
          </w:p>
        </w:tc>
        <w:tc>
          <w:tcPr>
            <w:tcW w:w="708" w:type="dxa"/>
          </w:tcPr>
          <w:p w:rsidR="006A329C" w:rsidRDefault="006A329C" w:rsidP="005907C7">
            <w:pPr>
              <w:jc w:val="both"/>
              <w:rPr>
                <w:b/>
                <w:sz w:val="24"/>
                <w:szCs w:val="24"/>
              </w:rPr>
            </w:pPr>
          </w:p>
        </w:tc>
        <w:tc>
          <w:tcPr>
            <w:tcW w:w="7194" w:type="dxa"/>
          </w:tcPr>
          <w:p w:rsidR="006A329C" w:rsidRPr="00C50E49" w:rsidRDefault="006A329C" w:rsidP="005907C7">
            <w:pPr>
              <w:jc w:val="both"/>
            </w:pPr>
            <w:r>
              <w:t>Valor informado para o Código de Receita 2496 e respectivas Classes de Vencimento deve ser igual ao do item 199 do quadro 14</w:t>
            </w:r>
          </w:p>
        </w:tc>
      </w:tr>
      <w:tr w:rsidR="006A329C" w:rsidTr="005907C7">
        <w:tc>
          <w:tcPr>
            <w:tcW w:w="817" w:type="dxa"/>
            <w:vMerge w:val="restart"/>
            <w:vAlign w:val="center"/>
          </w:tcPr>
          <w:p w:rsidR="006A329C" w:rsidRDefault="006A329C" w:rsidP="005907C7">
            <w:pPr>
              <w:rPr>
                <w:b/>
                <w:sz w:val="24"/>
                <w:szCs w:val="24"/>
              </w:rPr>
            </w:pPr>
            <w:r>
              <w:rPr>
                <w:b/>
                <w:sz w:val="24"/>
                <w:szCs w:val="24"/>
              </w:rPr>
              <w:t>14</w:t>
            </w:r>
          </w:p>
        </w:tc>
        <w:tc>
          <w:tcPr>
            <w:tcW w:w="851" w:type="dxa"/>
            <w:vMerge w:val="restart"/>
            <w:vAlign w:val="center"/>
          </w:tcPr>
          <w:p w:rsidR="006A329C" w:rsidRDefault="006A329C" w:rsidP="005907C7">
            <w:pPr>
              <w:rPr>
                <w:b/>
                <w:sz w:val="24"/>
                <w:szCs w:val="24"/>
              </w:rPr>
            </w:pPr>
            <w:r>
              <w:rPr>
                <w:b/>
                <w:sz w:val="24"/>
                <w:szCs w:val="24"/>
              </w:rPr>
              <w:t>35</w:t>
            </w:r>
          </w:p>
        </w:tc>
        <w:tc>
          <w:tcPr>
            <w:tcW w:w="708" w:type="dxa"/>
          </w:tcPr>
          <w:p w:rsidR="006A329C" w:rsidRDefault="006A329C" w:rsidP="005907C7">
            <w:pPr>
              <w:jc w:val="both"/>
              <w:rPr>
                <w:b/>
                <w:sz w:val="24"/>
                <w:szCs w:val="24"/>
              </w:rPr>
            </w:pPr>
            <w:r>
              <w:rPr>
                <w:b/>
                <w:sz w:val="24"/>
                <w:szCs w:val="24"/>
              </w:rPr>
              <w:t>010</w:t>
            </w:r>
          </w:p>
        </w:tc>
        <w:tc>
          <w:tcPr>
            <w:tcW w:w="7194" w:type="dxa"/>
          </w:tcPr>
          <w:p w:rsidR="006A329C" w:rsidRPr="00C50E49" w:rsidRDefault="006A329C" w:rsidP="005907C7">
            <w:pPr>
              <w:jc w:val="both"/>
            </w:pPr>
            <w:r w:rsidRPr="00C50E49">
              <w:t>Valor deve ser menor ou igual ao informado no item 060 do quadro 03</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020</w:t>
            </w:r>
          </w:p>
        </w:tc>
        <w:tc>
          <w:tcPr>
            <w:tcW w:w="7194" w:type="dxa"/>
          </w:tcPr>
          <w:p w:rsidR="006A329C" w:rsidRPr="00C50E49" w:rsidRDefault="006A329C" w:rsidP="005907C7">
            <w:pPr>
              <w:jc w:val="both"/>
            </w:pPr>
            <w:r w:rsidRPr="00C50E49">
              <w:t>Valor deve ser igual ao informado no item 076 do quadro 09</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030</w:t>
            </w:r>
          </w:p>
        </w:tc>
        <w:tc>
          <w:tcPr>
            <w:tcW w:w="7194" w:type="dxa"/>
          </w:tcPr>
          <w:p w:rsidR="006A329C" w:rsidRPr="00C50E49" w:rsidRDefault="006A329C" w:rsidP="005907C7">
            <w:pPr>
              <w:jc w:val="both"/>
            </w:pPr>
            <w:r w:rsidRPr="00C50E49">
              <w:t>Valor deve ser igual ao informado no item 036 do quadro 09</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040</w:t>
            </w:r>
          </w:p>
        </w:tc>
        <w:tc>
          <w:tcPr>
            <w:tcW w:w="7194" w:type="dxa"/>
          </w:tcPr>
          <w:p w:rsidR="006A329C" w:rsidRPr="00C50E49" w:rsidRDefault="006A329C" w:rsidP="005907C7">
            <w:pPr>
              <w:jc w:val="both"/>
            </w:pPr>
            <w:r w:rsidRPr="00C50E49">
              <w:t>Valor deve ser igual diferença do item 020 menos item 030</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110</w:t>
            </w:r>
          </w:p>
        </w:tc>
        <w:tc>
          <w:tcPr>
            <w:tcW w:w="7194" w:type="dxa"/>
          </w:tcPr>
          <w:p w:rsidR="006A329C" w:rsidRPr="00C50E49" w:rsidRDefault="006A329C" w:rsidP="005907C7">
            <w:pPr>
              <w:jc w:val="both"/>
            </w:pPr>
            <w:r w:rsidRPr="00C50E49">
              <w:t>Valor deve ser igual ao existente no item 198 do quadro 14 da DIME do mês anterior</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120</w:t>
            </w:r>
          </w:p>
        </w:tc>
        <w:tc>
          <w:tcPr>
            <w:tcW w:w="7194" w:type="dxa"/>
          </w:tcPr>
          <w:p w:rsidR="006A329C" w:rsidRPr="00C50E49" w:rsidRDefault="006A329C" w:rsidP="005907C7">
            <w:pPr>
              <w:jc w:val="both"/>
            </w:pPr>
            <w:r w:rsidRPr="00C50E49">
              <w:t>Valor deve ser igual ao informado no item 076 do quadro 09</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199</w:t>
            </w:r>
          </w:p>
        </w:tc>
        <w:tc>
          <w:tcPr>
            <w:tcW w:w="7194" w:type="dxa"/>
          </w:tcPr>
          <w:p w:rsidR="006A329C" w:rsidRPr="00C50E49" w:rsidRDefault="006A329C" w:rsidP="005907C7">
            <w:pPr>
              <w:jc w:val="both"/>
            </w:pPr>
            <w:r w:rsidRPr="00C50E49">
              <w:t xml:space="preserve">- Valor da diferença do somatório dos itens 040 e 050 e deduzido o </w:t>
            </w:r>
            <w:r>
              <w:t xml:space="preserve">valor do </w:t>
            </w:r>
            <w:r w:rsidRPr="00C50E49">
              <w:t>item 130</w:t>
            </w:r>
          </w:p>
          <w:p w:rsidR="006A329C" w:rsidRDefault="006A329C" w:rsidP="005907C7">
            <w:pPr>
              <w:jc w:val="both"/>
            </w:pPr>
            <w:r w:rsidRPr="00C50E49">
              <w:t xml:space="preserve">- Deve preencher com </w:t>
            </w:r>
            <w:proofErr w:type="gramStart"/>
            <w:r w:rsidRPr="00C50E49">
              <w:t>0</w:t>
            </w:r>
            <w:proofErr w:type="gramEnd"/>
            <w:r w:rsidRPr="00C50E49">
              <w:t xml:space="preserve"> (zero) quando resultado da diferença for 0 (zero) ou o </w:t>
            </w:r>
            <w:r>
              <w:t xml:space="preserve">valor do </w:t>
            </w:r>
            <w:r w:rsidRPr="00C50E49">
              <w:t>item 130 for maior que o somatório dos itens 040 e 050</w:t>
            </w:r>
          </w:p>
          <w:p w:rsidR="006A329C" w:rsidRPr="00C50E49" w:rsidRDefault="006A329C" w:rsidP="005907C7">
            <w:pPr>
              <w:jc w:val="both"/>
            </w:pPr>
            <w:r>
              <w:t>- Valor maior que zero deve ser igual ao informado no Quadro 12 com Código de Receita 2496 e respectivas Classes de Vencimentos</w:t>
            </w:r>
          </w:p>
        </w:tc>
      </w:tr>
      <w:tr w:rsidR="006A329C" w:rsidTr="005907C7">
        <w:tc>
          <w:tcPr>
            <w:tcW w:w="817" w:type="dxa"/>
            <w:vMerge/>
          </w:tcPr>
          <w:p w:rsidR="006A329C" w:rsidRDefault="006A329C" w:rsidP="005907C7">
            <w:pPr>
              <w:jc w:val="both"/>
              <w:rPr>
                <w:b/>
                <w:sz w:val="24"/>
                <w:szCs w:val="24"/>
              </w:rPr>
            </w:pPr>
          </w:p>
        </w:tc>
        <w:tc>
          <w:tcPr>
            <w:tcW w:w="851" w:type="dxa"/>
            <w:vMerge/>
          </w:tcPr>
          <w:p w:rsidR="006A329C" w:rsidRDefault="006A329C" w:rsidP="005907C7">
            <w:pPr>
              <w:jc w:val="both"/>
              <w:rPr>
                <w:b/>
                <w:sz w:val="24"/>
                <w:szCs w:val="24"/>
              </w:rPr>
            </w:pPr>
          </w:p>
        </w:tc>
        <w:tc>
          <w:tcPr>
            <w:tcW w:w="708" w:type="dxa"/>
          </w:tcPr>
          <w:p w:rsidR="006A329C" w:rsidRDefault="006A329C" w:rsidP="005907C7">
            <w:pPr>
              <w:jc w:val="both"/>
              <w:rPr>
                <w:b/>
                <w:sz w:val="24"/>
                <w:szCs w:val="24"/>
              </w:rPr>
            </w:pPr>
            <w:r>
              <w:rPr>
                <w:b/>
                <w:sz w:val="24"/>
                <w:szCs w:val="24"/>
              </w:rPr>
              <w:t>198</w:t>
            </w:r>
          </w:p>
        </w:tc>
        <w:tc>
          <w:tcPr>
            <w:tcW w:w="7194" w:type="dxa"/>
          </w:tcPr>
          <w:p w:rsidR="006A329C" w:rsidRPr="00C50E49" w:rsidRDefault="006A329C" w:rsidP="005907C7">
            <w:pPr>
              <w:jc w:val="both"/>
            </w:pPr>
            <w:r w:rsidRPr="00C50E49">
              <w:t>- Valor da diferença do item 130 deduzido do somatório dos itens 040 e 050</w:t>
            </w:r>
          </w:p>
          <w:p w:rsidR="006A329C" w:rsidRPr="00C50E49" w:rsidRDefault="006A329C" w:rsidP="005907C7">
            <w:pPr>
              <w:jc w:val="both"/>
            </w:pPr>
            <w:r w:rsidRPr="00C50E49">
              <w:t xml:space="preserve">- Não deve ser preenchido quando o </w:t>
            </w:r>
            <w:r>
              <w:t xml:space="preserve">valor do </w:t>
            </w:r>
            <w:r w:rsidRPr="00C50E49">
              <w:t xml:space="preserve">somatório dos itens 040 e 050 </w:t>
            </w:r>
            <w:proofErr w:type="gramStart"/>
            <w:r>
              <w:t>for</w:t>
            </w:r>
            <w:r w:rsidRPr="00C50E49">
              <w:t xml:space="preserve"> maior</w:t>
            </w:r>
            <w:proofErr w:type="gramEnd"/>
            <w:r w:rsidRPr="00C50E49">
              <w:t xml:space="preserve"> que o </w:t>
            </w:r>
            <w:r>
              <w:t xml:space="preserve">valor do </w:t>
            </w:r>
            <w:r w:rsidRPr="00C50E49">
              <w:t>item 130</w:t>
            </w:r>
          </w:p>
        </w:tc>
      </w:tr>
    </w:tbl>
    <w:p w:rsidR="006A329C" w:rsidRDefault="006A329C" w:rsidP="006A329C">
      <w:pPr>
        <w:spacing w:after="0" w:line="240" w:lineRule="auto"/>
        <w:jc w:val="both"/>
        <w:rPr>
          <w:b/>
          <w:sz w:val="24"/>
          <w:szCs w:val="24"/>
        </w:rPr>
      </w:pPr>
    </w:p>
    <w:p w:rsidR="006A329C" w:rsidRDefault="006A329C" w:rsidP="006A329C">
      <w:pPr>
        <w:spacing w:after="0" w:line="240" w:lineRule="auto"/>
        <w:jc w:val="both"/>
        <w:rPr>
          <w:b/>
          <w:sz w:val="24"/>
          <w:szCs w:val="24"/>
        </w:rPr>
      </w:pPr>
    </w:p>
    <w:p w:rsidR="007B7DEF" w:rsidRDefault="007B7DEF" w:rsidP="006A329C">
      <w:pPr>
        <w:spacing w:after="0" w:line="240" w:lineRule="auto"/>
        <w:jc w:val="both"/>
        <w:rPr>
          <w:b/>
          <w:sz w:val="24"/>
          <w:szCs w:val="24"/>
        </w:rPr>
      </w:pPr>
      <w:r>
        <w:rPr>
          <w:b/>
          <w:sz w:val="24"/>
          <w:szCs w:val="24"/>
        </w:rPr>
        <w:t>4 - RELAÇÃO DOS ITENS INCLUÍDOS NA DIME E QUANDO DEVEM SER INFORMADOS:</w:t>
      </w:r>
    </w:p>
    <w:p w:rsidR="007B7DEF" w:rsidRDefault="007B7DEF" w:rsidP="006A329C">
      <w:pPr>
        <w:spacing w:after="0" w:line="240" w:lineRule="auto"/>
        <w:jc w:val="both"/>
        <w:rPr>
          <w:b/>
          <w:sz w:val="24"/>
          <w:szCs w:val="24"/>
        </w:rPr>
      </w:pPr>
    </w:p>
    <w:tbl>
      <w:tblPr>
        <w:tblStyle w:val="Tabelacomgrade"/>
        <w:tblW w:w="0" w:type="auto"/>
        <w:tblLook w:val="04A0" w:firstRow="1" w:lastRow="0" w:firstColumn="1" w:lastColumn="0" w:noHBand="0" w:noVBand="1"/>
      </w:tblPr>
      <w:tblGrid>
        <w:gridCol w:w="1101"/>
        <w:gridCol w:w="2797"/>
        <w:gridCol w:w="2798"/>
        <w:gridCol w:w="2798"/>
      </w:tblGrid>
      <w:tr w:rsidR="007B7DEF" w:rsidTr="00C67603">
        <w:tc>
          <w:tcPr>
            <w:tcW w:w="1101" w:type="dxa"/>
            <w:tcBorders>
              <w:bottom w:val="single" w:sz="4" w:space="0" w:color="auto"/>
            </w:tcBorders>
          </w:tcPr>
          <w:p w:rsidR="007B7DEF" w:rsidRPr="007B7DEF" w:rsidRDefault="007B7DEF" w:rsidP="006A329C">
            <w:pPr>
              <w:jc w:val="both"/>
              <w:rPr>
                <w:b/>
                <w:sz w:val="20"/>
                <w:szCs w:val="20"/>
              </w:rPr>
            </w:pPr>
            <w:r>
              <w:rPr>
                <w:b/>
                <w:sz w:val="20"/>
                <w:szCs w:val="20"/>
              </w:rPr>
              <w:t>NOVOS ITENS DA DIME</w:t>
            </w:r>
          </w:p>
        </w:tc>
        <w:tc>
          <w:tcPr>
            <w:tcW w:w="2797" w:type="dxa"/>
            <w:tcBorders>
              <w:bottom w:val="single" w:sz="4" w:space="0" w:color="auto"/>
            </w:tcBorders>
          </w:tcPr>
          <w:p w:rsidR="007B7DEF" w:rsidRPr="00BE7FE5" w:rsidRDefault="00E272FB" w:rsidP="009525BA">
            <w:pPr>
              <w:jc w:val="both"/>
              <w:rPr>
                <w:b/>
                <w:sz w:val="20"/>
                <w:szCs w:val="20"/>
              </w:rPr>
            </w:pPr>
            <w:r>
              <w:rPr>
                <w:sz w:val="20"/>
                <w:szCs w:val="20"/>
              </w:rPr>
              <w:t>Itens p</w:t>
            </w:r>
            <w:r w:rsidR="00822722" w:rsidRPr="00BE7FE5">
              <w:rPr>
                <w:sz w:val="20"/>
                <w:szCs w:val="20"/>
              </w:rPr>
              <w:t>reenchido</w:t>
            </w:r>
            <w:r>
              <w:rPr>
                <w:sz w:val="20"/>
                <w:szCs w:val="20"/>
              </w:rPr>
              <w:t>s</w:t>
            </w:r>
            <w:r w:rsidR="00822722" w:rsidRPr="00BE7FE5">
              <w:rPr>
                <w:sz w:val="20"/>
                <w:szCs w:val="20"/>
              </w:rPr>
              <w:t xml:space="preserve"> por todos os contribuintes com saídas contempladas pelo crédito presumido em substituição aos créditos pelas entradas,</w:t>
            </w:r>
            <w:r>
              <w:rPr>
                <w:sz w:val="20"/>
                <w:szCs w:val="20"/>
              </w:rPr>
              <w:t xml:space="preserve"> inclusive com pagamento antecipado e lançamento de crédito extemporâneo, </w:t>
            </w:r>
            <w:proofErr w:type="gramStart"/>
            <w:r w:rsidR="00822722" w:rsidRPr="00BE7FE5">
              <w:rPr>
                <w:sz w:val="20"/>
                <w:szCs w:val="20"/>
              </w:rPr>
              <w:t>e</w:t>
            </w:r>
            <w:proofErr w:type="gramEnd"/>
          </w:p>
        </w:tc>
        <w:tc>
          <w:tcPr>
            <w:tcW w:w="2798" w:type="dxa"/>
            <w:tcBorders>
              <w:bottom w:val="single" w:sz="4" w:space="0" w:color="auto"/>
            </w:tcBorders>
          </w:tcPr>
          <w:p w:rsidR="00BE7FE5" w:rsidRPr="00BE7FE5" w:rsidRDefault="00E272FB" w:rsidP="009525BA">
            <w:pPr>
              <w:jc w:val="both"/>
              <w:rPr>
                <w:b/>
                <w:sz w:val="20"/>
                <w:szCs w:val="20"/>
              </w:rPr>
            </w:pPr>
            <w:r>
              <w:rPr>
                <w:sz w:val="20"/>
                <w:szCs w:val="20"/>
              </w:rPr>
              <w:t>Itens p</w:t>
            </w:r>
            <w:r w:rsidR="00822722" w:rsidRPr="00BE7FE5">
              <w:rPr>
                <w:sz w:val="20"/>
                <w:szCs w:val="20"/>
              </w:rPr>
              <w:t>reenchido</w:t>
            </w:r>
            <w:r>
              <w:rPr>
                <w:sz w:val="20"/>
                <w:szCs w:val="20"/>
              </w:rPr>
              <w:t>s</w:t>
            </w:r>
            <w:r w:rsidR="00822722" w:rsidRPr="00BE7FE5">
              <w:rPr>
                <w:sz w:val="20"/>
                <w:szCs w:val="20"/>
              </w:rPr>
              <w:t xml:space="preserve"> </w:t>
            </w:r>
            <w:r>
              <w:rPr>
                <w:sz w:val="20"/>
                <w:szCs w:val="20"/>
              </w:rPr>
              <w:t xml:space="preserve">somente </w:t>
            </w:r>
            <w:r w:rsidR="00BE7FE5" w:rsidRPr="00BE7FE5">
              <w:rPr>
                <w:sz w:val="20"/>
                <w:szCs w:val="20"/>
              </w:rPr>
              <w:t xml:space="preserve">pelo contribuinte que efetuar pagamento antecipado do ICMS </w:t>
            </w:r>
            <w:r w:rsidR="009525BA">
              <w:rPr>
                <w:sz w:val="20"/>
                <w:szCs w:val="20"/>
              </w:rPr>
              <w:t xml:space="preserve">(Código de Receita 1759) </w:t>
            </w:r>
            <w:r w:rsidR="00BE7FE5" w:rsidRPr="00BE7FE5">
              <w:rPr>
                <w:sz w:val="20"/>
                <w:szCs w:val="20"/>
              </w:rPr>
              <w:t xml:space="preserve">devido na saída subsequente à importação, com utilização do crédito presumido, </w:t>
            </w:r>
            <w:proofErr w:type="gramStart"/>
            <w:r w:rsidR="00BE7FE5" w:rsidRPr="00BE7FE5">
              <w:rPr>
                <w:sz w:val="20"/>
                <w:szCs w:val="20"/>
              </w:rPr>
              <w:t>e</w:t>
            </w:r>
            <w:proofErr w:type="gramEnd"/>
            <w:r w:rsidR="00BE7FE5" w:rsidRPr="00BE7FE5">
              <w:rPr>
                <w:sz w:val="20"/>
                <w:szCs w:val="20"/>
              </w:rPr>
              <w:t xml:space="preserve"> </w:t>
            </w:r>
          </w:p>
        </w:tc>
        <w:tc>
          <w:tcPr>
            <w:tcW w:w="2798" w:type="dxa"/>
            <w:tcBorders>
              <w:bottom w:val="single" w:sz="4" w:space="0" w:color="auto"/>
            </w:tcBorders>
          </w:tcPr>
          <w:p w:rsidR="007B7DEF" w:rsidRPr="00BE7FE5" w:rsidRDefault="00E272FB" w:rsidP="00E272FB">
            <w:pPr>
              <w:jc w:val="both"/>
              <w:rPr>
                <w:sz w:val="20"/>
                <w:szCs w:val="20"/>
              </w:rPr>
            </w:pPr>
            <w:r>
              <w:rPr>
                <w:sz w:val="20"/>
                <w:szCs w:val="20"/>
              </w:rPr>
              <w:t>Item p</w:t>
            </w:r>
            <w:r w:rsidR="00BE7FE5" w:rsidRPr="00BE7FE5">
              <w:rPr>
                <w:sz w:val="20"/>
                <w:szCs w:val="20"/>
              </w:rPr>
              <w:t xml:space="preserve">reenchido pelo contribuinte que lançar o crédito presumido extemporaneamente, e cujo débito incorrido não foi apurado </w:t>
            </w:r>
            <w:r>
              <w:rPr>
                <w:sz w:val="20"/>
                <w:szCs w:val="20"/>
              </w:rPr>
              <w:t>e recolhido.</w:t>
            </w:r>
          </w:p>
        </w:tc>
      </w:tr>
      <w:tr w:rsidR="00C67603" w:rsidTr="00C67603">
        <w:tc>
          <w:tcPr>
            <w:tcW w:w="1101" w:type="dxa"/>
            <w:shd w:val="clear" w:color="auto" w:fill="BFBFBF" w:themeFill="background1" w:themeFillShade="BF"/>
          </w:tcPr>
          <w:p w:rsidR="00C67603" w:rsidRDefault="00C67603" w:rsidP="006A329C">
            <w:pPr>
              <w:jc w:val="both"/>
              <w:rPr>
                <w:b/>
                <w:sz w:val="20"/>
                <w:szCs w:val="20"/>
              </w:rPr>
            </w:pPr>
            <w:r>
              <w:rPr>
                <w:b/>
                <w:sz w:val="20"/>
                <w:szCs w:val="20"/>
              </w:rPr>
              <w:t>Quadro 04</w:t>
            </w:r>
          </w:p>
        </w:tc>
        <w:tc>
          <w:tcPr>
            <w:tcW w:w="2797" w:type="dxa"/>
            <w:shd w:val="clear" w:color="auto" w:fill="BFBFBF" w:themeFill="background1" w:themeFillShade="BF"/>
            <w:vAlign w:val="center"/>
          </w:tcPr>
          <w:p w:rsidR="00C67603" w:rsidRPr="007B7DEF" w:rsidRDefault="00C67603" w:rsidP="00E272FB">
            <w:pPr>
              <w:jc w:val="center"/>
              <w:rPr>
                <w:b/>
                <w:sz w:val="20"/>
                <w:szCs w:val="20"/>
              </w:rPr>
            </w:pPr>
          </w:p>
        </w:tc>
        <w:tc>
          <w:tcPr>
            <w:tcW w:w="2798" w:type="dxa"/>
            <w:shd w:val="clear" w:color="auto" w:fill="BFBFBF" w:themeFill="background1" w:themeFillShade="BF"/>
            <w:vAlign w:val="center"/>
          </w:tcPr>
          <w:p w:rsidR="00C67603" w:rsidRPr="007B7DEF" w:rsidRDefault="00C67603" w:rsidP="00E272FB">
            <w:pPr>
              <w:jc w:val="center"/>
              <w:rPr>
                <w:b/>
                <w:sz w:val="20"/>
                <w:szCs w:val="20"/>
              </w:rPr>
            </w:pPr>
          </w:p>
        </w:tc>
        <w:tc>
          <w:tcPr>
            <w:tcW w:w="2798" w:type="dxa"/>
            <w:shd w:val="clear" w:color="auto" w:fill="BFBFBF" w:themeFill="background1" w:themeFillShade="BF"/>
            <w:vAlign w:val="center"/>
          </w:tcPr>
          <w:p w:rsidR="00C67603" w:rsidRPr="007B7DEF" w:rsidRDefault="00C67603" w:rsidP="00E272FB">
            <w:pPr>
              <w:jc w:val="center"/>
              <w:rPr>
                <w:b/>
                <w:sz w:val="20"/>
                <w:szCs w:val="20"/>
              </w:rPr>
            </w:pPr>
          </w:p>
        </w:tc>
      </w:tr>
      <w:tr w:rsidR="00C67603" w:rsidTr="00C67603">
        <w:tc>
          <w:tcPr>
            <w:tcW w:w="1101" w:type="dxa"/>
            <w:tcBorders>
              <w:bottom w:val="single" w:sz="4" w:space="0" w:color="auto"/>
            </w:tcBorders>
          </w:tcPr>
          <w:p w:rsidR="00C67603" w:rsidRDefault="00C67603" w:rsidP="006A329C">
            <w:pPr>
              <w:jc w:val="both"/>
              <w:rPr>
                <w:b/>
                <w:sz w:val="20"/>
                <w:szCs w:val="20"/>
              </w:rPr>
            </w:pPr>
            <w:r>
              <w:rPr>
                <w:b/>
                <w:sz w:val="20"/>
                <w:szCs w:val="20"/>
              </w:rPr>
              <w:t>065</w:t>
            </w:r>
          </w:p>
        </w:tc>
        <w:tc>
          <w:tcPr>
            <w:tcW w:w="2797" w:type="dxa"/>
            <w:tcBorders>
              <w:bottom w:val="single" w:sz="4" w:space="0" w:color="auto"/>
            </w:tcBorders>
            <w:vAlign w:val="center"/>
          </w:tcPr>
          <w:p w:rsidR="00C67603" w:rsidRPr="00BE04C9" w:rsidRDefault="00C67603" w:rsidP="00E272FB">
            <w:pPr>
              <w:jc w:val="center"/>
              <w:rPr>
                <w:b/>
              </w:rPr>
            </w:pPr>
            <w:r w:rsidRPr="00BE04C9">
              <w:rPr>
                <w:b/>
              </w:rPr>
              <w:t>X</w:t>
            </w:r>
          </w:p>
        </w:tc>
        <w:tc>
          <w:tcPr>
            <w:tcW w:w="2798" w:type="dxa"/>
            <w:tcBorders>
              <w:bottom w:val="single" w:sz="4" w:space="0" w:color="auto"/>
            </w:tcBorders>
            <w:vAlign w:val="center"/>
          </w:tcPr>
          <w:p w:rsidR="00C67603" w:rsidRPr="00BE04C9" w:rsidRDefault="00C67603" w:rsidP="00E272FB">
            <w:pPr>
              <w:jc w:val="center"/>
              <w:rPr>
                <w:b/>
              </w:rPr>
            </w:pPr>
          </w:p>
        </w:tc>
        <w:tc>
          <w:tcPr>
            <w:tcW w:w="2798" w:type="dxa"/>
            <w:tcBorders>
              <w:bottom w:val="single" w:sz="4" w:space="0" w:color="auto"/>
            </w:tcBorders>
            <w:vAlign w:val="center"/>
          </w:tcPr>
          <w:p w:rsidR="00C67603" w:rsidRPr="00BE04C9" w:rsidRDefault="00C67603" w:rsidP="00E272FB">
            <w:pPr>
              <w:jc w:val="center"/>
              <w:rPr>
                <w:b/>
              </w:rPr>
            </w:pPr>
          </w:p>
        </w:tc>
      </w:tr>
      <w:tr w:rsidR="007B7DEF" w:rsidTr="00C67603">
        <w:tc>
          <w:tcPr>
            <w:tcW w:w="1101" w:type="dxa"/>
            <w:shd w:val="clear" w:color="auto" w:fill="BFBFBF" w:themeFill="background1" w:themeFillShade="BF"/>
          </w:tcPr>
          <w:p w:rsidR="007B7DEF" w:rsidRPr="007B7DEF" w:rsidRDefault="00E272FB" w:rsidP="006A329C">
            <w:pPr>
              <w:jc w:val="both"/>
              <w:rPr>
                <w:b/>
                <w:sz w:val="20"/>
                <w:szCs w:val="20"/>
              </w:rPr>
            </w:pPr>
            <w:r>
              <w:rPr>
                <w:b/>
                <w:sz w:val="20"/>
                <w:szCs w:val="20"/>
              </w:rPr>
              <w:t>Quadro 09</w:t>
            </w:r>
          </w:p>
        </w:tc>
        <w:tc>
          <w:tcPr>
            <w:tcW w:w="2797" w:type="dxa"/>
            <w:shd w:val="clear" w:color="auto" w:fill="BFBFBF" w:themeFill="background1" w:themeFillShade="BF"/>
            <w:vAlign w:val="center"/>
          </w:tcPr>
          <w:p w:rsidR="007B7DEF" w:rsidRPr="00BE04C9" w:rsidRDefault="007B7DEF" w:rsidP="00E272FB">
            <w:pPr>
              <w:jc w:val="center"/>
              <w:rPr>
                <w:b/>
              </w:rPr>
            </w:pPr>
          </w:p>
        </w:tc>
        <w:tc>
          <w:tcPr>
            <w:tcW w:w="2798" w:type="dxa"/>
            <w:shd w:val="clear" w:color="auto" w:fill="BFBFBF" w:themeFill="background1" w:themeFillShade="BF"/>
            <w:vAlign w:val="center"/>
          </w:tcPr>
          <w:p w:rsidR="007B7DEF" w:rsidRPr="00BE04C9" w:rsidRDefault="007B7DEF" w:rsidP="00E272FB">
            <w:pPr>
              <w:jc w:val="center"/>
              <w:rPr>
                <w:b/>
              </w:rPr>
            </w:pPr>
          </w:p>
        </w:tc>
        <w:tc>
          <w:tcPr>
            <w:tcW w:w="2798" w:type="dxa"/>
            <w:shd w:val="clear" w:color="auto" w:fill="BFBFBF" w:themeFill="background1" w:themeFillShade="BF"/>
            <w:vAlign w:val="center"/>
          </w:tcPr>
          <w:p w:rsidR="007B7DEF" w:rsidRPr="00BE04C9" w:rsidRDefault="007B7DEF" w:rsidP="00E272FB">
            <w:pPr>
              <w:jc w:val="center"/>
              <w:rPr>
                <w:b/>
              </w:rPr>
            </w:pPr>
          </w:p>
        </w:tc>
      </w:tr>
      <w:tr w:rsidR="007B7DEF" w:rsidTr="00E272FB">
        <w:tc>
          <w:tcPr>
            <w:tcW w:w="1101" w:type="dxa"/>
          </w:tcPr>
          <w:p w:rsidR="007B7DEF" w:rsidRPr="007B7DEF" w:rsidRDefault="00E272FB" w:rsidP="006A329C">
            <w:pPr>
              <w:jc w:val="both"/>
              <w:rPr>
                <w:b/>
                <w:sz w:val="20"/>
                <w:szCs w:val="20"/>
              </w:rPr>
            </w:pPr>
            <w:r>
              <w:rPr>
                <w:b/>
                <w:sz w:val="20"/>
                <w:szCs w:val="20"/>
              </w:rPr>
              <w:t>036</w:t>
            </w:r>
          </w:p>
        </w:tc>
        <w:tc>
          <w:tcPr>
            <w:tcW w:w="2797" w:type="dxa"/>
            <w:vAlign w:val="center"/>
          </w:tcPr>
          <w:p w:rsidR="007B7DEF" w:rsidRPr="00BE04C9" w:rsidRDefault="00E272FB" w:rsidP="00E272FB">
            <w:pPr>
              <w:jc w:val="center"/>
              <w:rPr>
                <w:b/>
              </w:rPr>
            </w:pPr>
            <w:r w:rsidRPr="00BE04C9">
              <w:rPr>
                <w:b/>
              </w:rPr>
              <w:t>X</w:t>
            </w:r>
          </w:p>
        </w:tc>
        <w:tc>
          <w:tcPr>
            <w:tcW w:w="2798" w:type="dxa"/>
            <w:vAlign w:val="center"/>
          </w:tcPr>
          <w:p w:rsidR="007B7DEF" w:rsidRPr="00BE04C9" w:rsidRDefault="007B7DEF" w:rsidP="00E272FB">
            <w:pPr>
              <w:jc w:val="center"/>
              <w:rPr>
                <w:b/>
              </w:rPr>
            </w:pPr>
          </w:p>
        </w:tc>
        <w:tc>
          <w:tcPr>
            <w:tcW w:w="2798" w:type="dxa"/>
            <w:vAlign w:val="center"/>
          </w:tcPr>
          <w:p w:rsidR="007B7DEF" w:rsidRPr="00BE04C9" w:rsidRDefault="007B7DEF" w:rsidP="00E272FB">
            <w:pPr>
              <w:jc w:val="center"/>
              <w:rPr>
                <w:b/>
              </w:rPr>
            </w:pPr>
          </w:p>
        </w:tc>
      </w:tr>
      <w:tr w:rsidR="007B7DEF" w:rsidTr="00E272FB">
        <w:tc>
          <w:tcPr>
            <w:tcW w:w="1101" w:type="dxa"/>
          </w:tcPr>
          <w:p w:rsidR="007B7DEF" w:rsidRPr="007B7DEF" w:rsidRDefault="00E272FB" w:rsidP="006A329C">
            <w:pPr>
              <w:jc w:val="both"/>
              <w:rPr>
                <w:b/>
                <w:sz w:val="20"/>
                <w:szCs w:val="20"/>
              </w:rPr>
            </w:pPr>
            <w:r>
              <w:rPr>
                <w:b/>
                <w:sz w:val="20"/>
                <w:szCs w:val="20"/>
              </w:rPr>
              <w:t>037</w:t>
            </w:r>
          </w:p>
        </w:tc>
        <w:tc>
          <w:tcPr>
            <w:tcW w:w="2797" w:type="dxa"/>
            <w:vAlign w:val="center"/>
          </w:tcPr>
          <w:p w:rsidR="007B7DEF" w:rsidRPr="00BE04C9" w:rsidRDefault="007B7DEF" w:rsidP="00E272FB">
            <w:pPr>
              <w:jc w:val="center"/>
              <w:rPr>
                <w:b/>
              </w:rPr>
            </w:pPr>
          </w:p>
        </w:tc>
        <w:tc>
          <w:tcPr>
            <w:tcW w:w="2798" w:type="dxa"/>
            <w:vAlign w:val="center"/>
          </w:tcPr>
          <w:p w:rsidR="007B7DEF" w:rsidRPr="00BE04C9" w:rsidRDefault="00E272FB" w:rsidP="00E272FB">
            <w:pPr>
              <w:jc w:val="center"/>
              <w:rPr>
                <w:b/>
              </w:rPr>
            </w:pPr>
            <w:r w:rsidRPr="00BE04C9">
              <w:rPr>
                <w:b/>
              </w:rPr>
              <w:t>X</w:t>
            </w:r>
          </w:p>
        </w:tc>
        <w:tc>
          <w:tcPr>
            <w:tcW w:w="2798" w:type="dxa"/>
            <w:vAlign w:val="center"/>
          </w:tcPr>
          <w:p w:rsidR="007B7DEF" w:rsidRPr="00BE04C9" w:rsidRDefault="007B7DEF" w:rsidP="00E272FB">
            <w:pPr>
              <w:jc w:val="center"/>
              <w:rPr>
                <w:b/>
              </w:rPr>
            </w:pPr>
          </w:p>
        </w:tc>
      </w:tr>
      <w:tr w:rsidR="007B7DEF" w:rsidTr="00C67603">
        <w:tc>
          <w:tcPr>
            <w:tcW w:w="1101" w:type="dxa"/>
            <w:tcBorders>
              <w:bottom w:val="single" w:sz="4" w:space="0" w:color="auto"/>
            </w:tcBorders>
          </w:tcPr>
          <w:p w:rsidR="007B7DEF" w:rsidRPr="007B7DEF" w:rsidRDefault="00E272FB" w:rsidP="006A329C">
            <w:pPr>
              <w:jc w:val="both"/>
              <w:rPr>
                <w:b/>
                <w:sz w:val="20"/>
                <w:szCs w:val="20"/>
              </w:rPr>
            </w:pPr>
            <w:r>
              <w:rPr>
                <w:b/>
                <w:sz w:val="20"/>
                <w:szCs w:val="20"/>
              </w:rPr>
              <w:t>076</w:t>
            </w:r>
          </w:p>
        </w:tc>
        <w:tc>
          <w:tcPr>
            <w:tcW w:w="2797" w:type="dxa"/>
            <w:tcBorders>
              <w:bottom w:val="single" w:sz="4" w:space="0" w:color="auto"/>
            </w:tcBorders>
            <w:vAlign w:val="center"/>
          </w:tcPr>
          <w:p w:rsidR="007B7DEF" w:rsidRPr="00BE04C9" w:rsidRDefault="00E272FB" w:rsidP="00E272FB">
            <w:pPr>
              <w:jc w:val="center"/>
              <w:rPr>
                <w:b/>
              </w:rPr>
            </w:pPr>
            <w:r w:rsidRPr="00BE04C9">
              <w:rPr>
                <w:b/>
              </w:rPr>
              <w:t>X</w:t>
            </w:r>
          </w:p>
        </w:tc>
        <w:tc>
          <w:tcPr>
            <w:tcW w:w="2798" w:type="dxa"/>
            <w:tcBorders>
              <w:bottom w:val="single" w:sz="4" w:space="0" w:color="auto"/>
            </w:tcBorders>
            <w:vAlign w:val="center"/>
          </w:tcPr>
          <w:p w:rsidR="007B7DEF" w:rsidRPr="00BE04C9" w:rsidRDefault="007B7DEF" w:rsidP="00E272FB">
            <w:pPr>
              <w:jc w:val="center"/>
              <w:rPr>
                <w:b/>
              </w:rPr>
            </w:pPr>
          </w:p>
        </w:tc>
        <w:tc>
          <w:tcPr>
            <w:tcW w:w="2798" w:type="dxa"/>
            <w:tcBorders>
              <w:bottom w:val="single" w:sz="4" w:space="0" w:color="auto"/>
            </w:tcBorders>
            <w:vAlign w:val="center"/>
          </w:tcPr>
          <w:p w:rsidR="007B7DEF" w:rsidRPr="00BE04C9" w:rsidRDefault="007B7DEF" w:rsidP="00E272FB">
            <w:pPr>
              <w:jc w:val="center"/>
              <w:rPr>
                <w:b/>
              </w:rPr>
            </w:pPr>
          </w:p>
        </w:tc>
      </w:tr>
      <w:tr w:rsidR="007B7DEF" w:rsidTr="00C67603">
        <w:tc>
          <w:tcPr>
            <w:tcW w:w="1101" w:type="dxa"/>
            <w:shd w:val="clear" w:color="auto" w:fill="BFBFBF" w:themeFill="background1" w:themeFillShade="BF"/>
          </w:tcPr>
          <w:p w:rsidR="007B7DEF" w:rsidRPr="007B7DEF" w:rsidRDefault="00E272FB" w:rsidP="006A329C">
            <w:pPr>
              <w:jc w:val="both"/>
              <w:rPr>
                <w:b/>
                <w:sz w:val="20"/>
                <w:szCs w:val="20"/>
              </w:rPr>
            </w:pPr>
            <w:r>
              <w:rPr>
                <w:b/>
                <w:sz w:val="20"/>
                <w:szCs w:val="20"/>
              </w:rPr>
              <w:t>Quadro 14</w:t>
            </w:r>
          </w:p>
        </w:tc>
        <w:tc>
          <w:tcPr>
            <w:tcW w:w="2797" w:type="dxa"/>
            <w:shd w:val="clear" w:color="auto" w:fill="BFBFBF" w:themeFill="background1" w:themeFillShade="BF"/>
            <w:vAlign w:val="center"/>
          </w:tcPr>
          <w:p w:rsidR="007B7DEF" w:rsidRPr="00BE04C9" w:rsidRDefault="007B7DEF" w:rsidP="00E272FB">
            <w:pPr>
              <w:jc w:val="center"/>
              <w:rPr>
                <w:b/>
              </w:rPr>
            </w:pPr>
          </w:p>
        </w:tc>
        <w:tc>
          <w:tcPr>
            <w:tcW w:w="2798" w:type="dxa"/>
            <w:shd w:val="clear" w:color="auto" w:fill="BFBFBF" w:themeFill="background1" w:themeFillShade="BF"/>
            <w:vAlign w:val="center"/>
          </w:tcPr>
          <w:p w:rsidR="007B7DEF" w:rsidRPr="00BE04C9" w:rsidRDefault="007B7DEF" w:rsidP="00E272FB">
            <w:pPr>
              <w:jc w:val="center"/>
              <w:rPr>
                <w:b/>
              </w:rPr>
            </w:pPr>
          </w:p>
        </w:tc>
        <w:tc>
          <w:tcPr>
            <w:tcW w:w="2798" w:type="dxa"/>
            <w:shd w:val="clear" w:color="auto" w:fill="BFBFBF" w:themeFill="background1" w:themeFillShade="BF"/>
            <w:vAlign w:val="center"/>
          </w:tcPr>
          <w:p w:rsidR="007B7DEF" w:rsidRPr="00BE04C9" w:rsidRDefault="007B7DEF" w:rsidP="00E272FB">
            <w:pPr>
              <w:jc w:val="center"/>
              <w:rPr>
                <w:b/>
              </w:rPr>
            </w:pPr>
          </w:p>
        </w:tc>
      </w:tr>
      <w:tr w:rsidR="007B7DEF" w:rsidTr="00E272FB">
        <w:tc>
          <w:tcPr>
            <w:tcW w:w="1101" w:type="dxa"/>
          </w:tcPr>
          <w:p w:rsidR="007B7DEF" w:rsidRPr="007B7DEF" w:rsidRDefault="00E272FB" w:rsidP="006A329C">
            <w:pPr>
              <w:jc w:val="both"/>
              <w:rPr>
                <w:b/>
                <w:sz w:val="20"/>
                <w:szCs w:val="20"/>
              </w:rPr>
            </w:pPr>
            <w:r>
              <w:rPr>
                <w:b/>
                <w:sz w:val="20"/>
                <w:szCs w:val="20"/>
              </w:rPr>
              <w:t>010</w:t>
            </w:r>
          </w:p>
        </w:tc>
        <w:tc>
          <w:tcPr>
            <w:tcW w:w="2797" w:type="dxa"/>
            <w:vAlign w:val="center"/>
          </w:tcPr>
          <w:p w:rsidR="007B7DEF" w:rsidRPr="00BE04C9" w:rsidRDefault="00E272FB" w:rsidP="00E272FB">
            <w:pPr>
              <w:jc w:val="center"/>
              <w:rPr>
                <w:b/>
              </w:rPr>
            </w:pPr>
            <w:r w:rsidRPr="00BE04C9">
              <w:rPr>
                <w:b/>
              </w:rPr>
              <w:t>X</w:t>
            </w:r>
          </w:p>
        </w:tc>
        <w:tc>
          <w:tcPr>
            <w:tcW w:w="2798" w:type="dxa"/>
            <w:vAlign w:val="center"/>
          </w:tcPr>
          <w:p w:rsidR="007B7DEF" w:rsidRPr="00BE04C9" w:rsidRDefault="007B7DEF" w:rsidP="00E272FB">
            <w:pPr>
              <w:jc w:val="center"/>
              <w:rPr>
                <w:b/>
              </w:rPr>
            </w:pPr>
          </w:p>
        </w:tc>
        <w:tc>
          <w:tcPr>
            <w:tcW w:w="2798" w:type="dxa"/>
            <w:vAlign w:val="center"/>
          </w:tcPr>
          <w:p w:rsidR="007B7DEF" w:rsidRPr="00BE04C9" w:rsidRDefault="007B7DEF" w:rsidP="00E272FB">
            <w:pPr>
              <w:jc w:val="center"/>
              <w:rPr>
                <w:b/>
              </w:rPr>
            </w:pPr>
          </w:p>
        </w:tc>
      </w:tr>
      <w:tr w:rsidR="007B7DEF" w:rsidTr="00E272FB">
        <w:tc>
          <w:tcPr>
            <w:tcW w:w="1101" w:type="dxa"/>
          </w:tcPr>
          <w:p w:rsidR="007B7DEF" w:rsidRPr="007B7DEF" w:rsidRDefault="00E272FB" w:rsidP="006A329C">
            <w:pPr>
              <w:jc w:val="both"/>
              <w:rPr>
                <w:b/>
                <w:sz w:val="20"/>
                <w:szCs w:val="20"/>
              </w:rPr>
            </w:pPr>
            <w:r>
              <w:rPr>
                <w:b/>
                <w:sz w:val="20"/>
                <w:szCs w:val="20"/>
              </w:rPr>
              <w:t>020</w:t>
            </w:r>
          </w:p>
        </w:tc>
        <w:tc>
          <w:tcPr>
            <w:tcW w:w="2797" w:type="dxa"/>
            <w:vAlign w:val="center"/>
          </w:tcPr>
          <w:p w:rsidR="007B7DEF" w:rsidRPr="00BE04C9" w:rsidRDefault="00E272FB" w:rsidP="00E272FB">
            <w:pPr>
              <w:jc w:val="center"/>
              <w:rPr>
                <w:b/>
              </w:rPr>
            </w:pPr>
            <w:r w:rsidRPr="00BE04C9">
              <w:rPr>
                <w:b/>
              </w:rPr>
              <w:t>X</w:t>
            </w:r>
          </w:p>
        </w:tc>
        <w:tc>
          <w:tcPr>
            <w:tcW w:w="2798" w:type="dxa"/>
            <w:vAlign w:val="center"/>
          </w:tcPr>
          <w:p w:rsidR="007B7DEF" w:rsidRPr="00BE04C9" w:rsidRDefault="007B7DEF" w:rsidP="00E272FB">
            <w:pPr>
              <w:jc w:val="center"/>
              <w:rPr>
                <w:b/>
              </w:rPr>
            </w:pPr>
          </w:p>
        </w:tc>
        <w:tc>
          <w:tcPr>
            <w:tcW w:w="2798" w:type="dxa"/>
            <w:vAlign w:val="center"/>
          </w:tcPr>
          <w:p w:rsidR="007B7DEF" w:rsidRPr="00BE04C9" w:rsidRDefault="007B7DEF"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030</w:t>
            </w:r>
          </w:p>
        </w:tc>
        <w:tc>
          <w:tcPr>
            <w:tcW w:w="2797"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040</w:t>
            </w:r>
          </w:p>
        </w:tc>
        <w:tc>
          <w:tcPr>
            <w:tcW w:w="2797"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050</w:t>
            </w:r>
          </w:p>
        </w:tc>
        <w:tc>
          <w:tcPr>
            <w:tcW w:w="2797"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r w:rsidRPr="00BE04C9">
              <w:rPr>
                <w:b/>
              </w:rPr>
              <w:t>X</w:t>
            </w:r>
          </w:p>
        </w:tc>
      </w:tr>
      <w:tr w:rsidR="00E272FB" w:rsidTr="00E272FB">
        <w:tc>
          <w:tcPr>
            <w:tcW w:w="1101" w:type="dxa"/>
          </w:tcPr>
          <w:p w:rsidR="00E272FB" w:rsidRPr="007B7DEF" w:rsidRDefault="00E272FB" w:rsidP="006A329C">
            <w:pPr>
              <w:jc w:val="both"/>
              <w:rPr>
                <w:b/>
                <w:sz w:val="20"/>
                <w:szCs w:val="20"/>
              </w:rPr>
            </w:pPr>
            <w:r>
              <w:rPr>
                <w:b/>
                <w:sz w:val="20"/>
                <w:szCs w:val="20"/>
              </w:rPr>
              <w:t>110</w:t>
            </w:r>
          </w:p>
        </w:tc>
        <w:tc>
          <w:tcPr>
            <w:tcW w:w="2797"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120</w:t>
            </w:r>
          </w:p>
        </w:tc>
        <w:tc>
          <w:tcPr>
            <w:tcW w:w="2797"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130</w:t>
            </w:r>
          </w:p>
        </w:tc>
        <w:tc>
          <w:tcPr>
            <w:tcW w:w="2797" w:type="dxa"/>
            <w:vAlign w:val="center"/>
          </w:tcPr>
          <w:p w:rsidR="00E272FB" w:rsidRPr="00BE04C9" w:rsidRDefault="00E272FB" w:rsidP="00E272FB">
            <w:pPr>
              <w:jc w:val="center"/>
              <w:rPr>
                <w:b/>
              </w:rPr>
            </w:pPr>
          </w:p>
        </w:tc>
        <w:tc>
          <w:tcPr>
            <w:tcW w:w="2798" w:type="dxa"/>
            <w:vAlign w:val="center"/>
          </w:tcPr>
          <w:p w:rsidR="00E272FB" w:rsidRPr="00BE04C9" w:rsidRDefault="00C67603" w:rsidP="00E272FB">
            <w:pPr>
              <w:jc w:val="center"/>
              <w:rPr>
                <w:b/>
              </w:rPr>
            </w:pPr>
            <w:r w:rsidRPr="00BE04C9">
              <w:rPr>
                <w:b/>
              </w:rPr>
              <w:t>X</w:t>
            </w:r>
          </w:p>
        </w:tc>
        <w:tc>
          <w:tcPr>
            <w:tcW w:w="2798" w:type="dxa"/>
            <w:vAlign w:val="center"/>
          </w:tcPr>
          <w:p w:rsidR="00E272FB" w:rsidRPr="00BE04C9" w:rsidRDefault="00E272FB" w:rsidP="00E272FB">
            <w:pPr>
              <w:jc w:val="center"/>
              <w:rPr>
                <w:b/>
              </w:rPr>
            </w:pPr>
          </w:p>
        </w:tc>
      </w:tr>
      <w:tr w:rsidR="00E272FB" w:rsidTr="00E272FB">
        <w:tc>
          <w:tcPr>
            <w:tcW w:w="1101" w:type="dxa"/>
          </w:tcPr>
          <w:p w:rsidR="00E272FB" w:rsidRPr="007B7DEF" w:rsidRDefault="00E272FB" w:rsidP="006A329C">
            <w:pPr>
              <w:jc w:val="both"/>
              <w:rPr>
                <w:b/>
                <w:sz w:val="20"/>
                <w:szCs w:val="20"/>
              </w:rPr>
            </w:pPr>
            <w:r>
              <w:rPr>
                <w:b/>
                <w:sz w:val="20"/>
                <w:szCs w:val="20"/>
              </w:rPr>
              <w:t>199</w:t>
            </w:r>
          </w:p>
        </w:tc>
        <w:tc>
          <w:tcPr>
            <w:tcW w:w="2797"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r w:rsidRPr="00BE04C9">
              <w:rPr>
                <w:b/>
              </w:rPr>
              <w:t>X</w:t>
            </w:r>
          </w:p>
        </w:tc>
      </w:tr>
      <w:tr w:rsidR="00E272FB" w:rsidTr="00E272FB">
        <w:tc>
          <w:tcPr>
            <w:tcW w:w="1101" w:type="dxa"/>
          </w:tcPr>
          <w:p w:rsidR="00E272FB" w:rsidRPr="007B7DEF" w:rsidRDefault="00E272FB" w:rsidP="006A329C">
            <w:pPr>
              <w:jc w:val="both"/>
              <w:rPr>
                <w:b/>
                <w:sz w:val="20"/>
                <w:szCs w:val="20"/>
              </w:rPr>
            </w:pPr>
            <w:r>
              <w:rPr>
                <w:b/>
                <w:sz w:val="20"/>
                <w:szCs w:val="20"/>
              </w:rPr>
              <w:t>198</w:t>
            </w:r>
          </w:p>
        </w:tc>
        <w:tc>
          <w:tcPr>
            <w:tcW w:w="2797" w:type="dxa"/>
            <w:vAlign w:val="center"/>
          </w:tcPr>
          <w:p w:rsidR="00E272FB" w:rsidRPr="00BE04C9" w:rsidRDefault="00E272FB" w:rsidP="00E272FB">
            <w:pPr>
              <w:jc w:val="center"/>
              <w:rPr>
                <w:b/>
              </w:rPr>
            </w:pPr>
          </w:p>
        </w:tc>
        <w:tc>
          <w:tcPr>
            <w:tcW w:w="2798" w:type="dxa"/>
            <w:vAlign w:val="center"/>
          </w:tcPr>
          <w:p w:rsidR="00E272FB" w:rsidRPr="00BE04C9" w:rsidRDefault="00E272FB" w:rsidP="00E272FB">
            <w:pPr>
              <w:jc w:val="center"/>
              <w:rPr>
                <w:b/>
              </w:rPr>
            </w:pPr>
            <w:r w:rsidRPr="00BE04C9">
              <w:rPr>
                <w:b/>
              </w:rPr>
              <w:t>X</w:t>
            </w:r>
          </w:p>
        </w:tc>
        <w:tc>
          <w:tcPr>
            <w:tcW w:w="2798" w:type="dxa"/>
            <w:vAlign w:val="center"/>
          </w:tcPr>
          <w:p w:rsidR="00E272FB" w:rsidRPr="00BE04C9" w:rsidRDefault="00E272FB" w:rsidP="00E272FB">
            <w:pPr>
              <w:jc w:val="center"/>
              <w:rPr>
                <w:b/>
              </w:rPr>
            </w:pPr>
          </w:p>
        </w:tc>
      </w:tr>
    </w:tbl>
    <w:p w:rsidR="007B7DEF" w:rsidRDefault="007B7DEF" w:rsidP="006A329C">
      <w:pPr>
        <w:spacing w:after="0" w:line="240" w:lineRule="auto"/>
        <w:jc w:val="both"/>
        <w:rPr>
          <w:b/>
          <w:sz w:val="24"/>
          <w:szCs w:val="24"/>
        </w:rPr>
      </w:pPr>
    </w:p>
    <w:p w:rsidR="006A329C" w:rsidRDefault="006A329C" w:rsidP="006A329C">
      <w:pPr>
        <w:spacing w:after="0" w:line="240" w:lineRule="auto"/>
        <w:jc w:val="both"/>
        <w:rPr>
          <w:rFonts w:ascii="Times New Roman" w:hAnsi="Times New Roman" w:cs="Times New Roman"/>
          <w:sz w:val="24"/>
          <w:szCs w:val="24"/>
        </w:rPr>
      </w:pPr>
    </w:p>
    <w:p w:rsidR="006A329C" w:rsidRDefault="006A329C" w:rsidP="006A329C">
      <w:pPr>
        <w:spacing w:after="0" w:line="240" w:lineRule="auto"/>
        <w:jc w:val="both"/>
        <w:rPr>
          <w:rFonts w:ascii="Times New Roman" w:hAnsi="Times New Roman"/>
          <w:b/>
          <w:sz w:val="24"/>
          <w:szCs w:val="24"/>
        </w:rPr>
      </w:pPr>
      <w:r w:rsidRPr="004D7ED8">
        <w:rPr>
          <w:rFonts w:ascii="Times New Roman" w:hAnsi="Times New Roman"/>
          <w:b/>
          <w:sz w:val="24"/>
          <w:szCs w:val="24"/>
        </w:rPr>
        <w:t xml:space="preserve">IMPORTANTE: </w:t>
      </w:r>
    </w:p>
    <w:p w:rsidR="006A329C" w:rsidRDefault="006A329C" w:rsidP="006A329C">
      <w:pPr>
        <w:spacing w:after="0" w:line="240" w:lineRule="auto"/>
        <w:jc w:val="both"/>
        <w:rPr>
          <w:rFonts w:ascii="Times New Roman" w:hAnsi="Times New Roman"/>
          <w:b/>
          <w:sz w:val="24"/>
          <w:szCs w:val="24"/>
        </w:rPr>
      </w:pPr>
    </w:p>
    <w:p w:rsidR="006A329C" w:rsidRDefault="006A329C" w:rsidP="006A329C">
      <w:pPr>
        <w:spacing w:after="0" w:line="240" w:lineRule="auto"/>
        <w:jc w:val="both"/>
        <w:rPr>
          <w:rFonts w:ascii="Times New Roman" w:hAnsi="Times New Roman"/>
          <w:b/>
          <w:sz w:val="24"/>
          <w:szCs w:val="24"/>
        </w:rPr>
      </w:pPr>
      <w:r>
        <w:rPr>
          <w:rFonts w:ascii="Times New Roman" w:hAnsi="Times New Roman" w:cs="Times New Roman"/>
          <w:b/>
          <w:sz w:val="24"/>
          <w:szCs w:val="24"/>
        </w:rPr>
        <w:t>A</w:t>
      </w:r>
      <w:r w:rsidRPr="004D7ED8">
        <w:rPr>
          <w:rFonts w:ascii="Times New Roman" w:hAnsi="Times New Roman" w:cs="Times New Roman"/>
          <w:b/>
          <w:sz w:val="24"/>
          <w:szCs w:val="24"/>
        </w:rPr>
        <w:t xml:space="preserve">s </w:t>
      </w:r>
      <w:r w:rsidRPr="004D7ED8">
        <w:rPr>
          <w:rFonts w:ascii="Times New Roman" w:eastAsia="Calibri" w:hAnsi="Times New Roman" w:cs="Times New Roman"/>
          <w:b/>
          <w:sz w:val="24"/>
          <w:szCs w:val="24"/>
        </w:rPr>
        <w:t>modificações descritas acima para o Layout da DIME e na Validação requerem a atualização dos programas locais destinados à</w:t>
      </w:r>
      <w:r>
        <w:rPr>
          <w:rFonts w:ascii="Times New Roman" w:eastAsia="Calibri" w:hAnsi="Times New Roman" w:cs="Times New Roman"/>
          <w:b/>
          <w:sz w:val="24"/>
          <w:szCs w:val="24"/>
        </w:rPr>
        <w:t xml:space="preserve"> geração de arquivo de DIME, que serão recebidos a partir de </w:t>
      </w:r>
      <w:r w:rsidRPr="004D7ED8">
        <w:rPr>
          <w:rFonts w:ascii="Times New Roman" w:hAnsi="Times New Roman"/>
          <w:b/>
          <w:sz w:val="24"/>
          <w:szCs w:val="24"/>
        </w:rPr>
        <w:t>1º de maio de 2017</w:t>
      </w:r>
      <w:r>
        <w:rPr>
          <w:rFonts w:ascii="Times New Roman" w:hAnsi="Times New Roman"/>
          <w:b/>
          <w:sz w:val="24"/>
          <w:szCs w:val="24"/>
        </w:rPr>
        <w:t xml:space="preserve">. </w:t>
      </w:r>
    </w:p>
    <w:p w:rsidR="006A329C" w:rsidRDefault="006A329C" w:rsidP="006A329C">
      <w:pPr>
        <w:spacing w:after="0" w:line="240" w:lineRule="auto"/>
        <w:jc w:val="both"/>
        <w:rPr>
          <w:rFonts w:ascii="Times New Roman" w:eastAsia="Calibri" w:hAnsi="Times New Roman" w:cs="Times New Roman"/>
          <w:b/>
          <w:sz w:val="24"/>
          <w:szCs w:val="24"/>
        </w:rPr>
      </w:pPr>
    </w:p>
    <w:p w:rsidR="006A329C" w:rsidRPr="004D7ED8" w:rsidRDefault="006A329C" w:rsidP="006A329C">
      <w:pPr>
        <w:spacing w:after="0" w:line="240" w:lineRule="auto"/>
        <w:jc w:val="both"/>
        <w:rPr>
          <w:rFonts w:ascii="Times New Roman" w:eastAsia="Calibri" w:hAnsi="Times New Roman" w:cs="Times New Roman"/>
          <w:b/>
          <w:sz w:val="24"/>
          <w:szCs w:val="24"/>
        </w:rPr>
      </w:pPr>
      <w:r w:rsidRPr="004D7ED8">
        <w:rPr>
          <w:rFonts w:ascii="Times New Roman" w:eastAsia="Calibri" w:hAnsi="Times New Roman" w:cs="Times New Roman"/>
          <w:b/>
          <w:sz w:val="24"/>
          <w:szCs w:val="24"/>
        </w:rPr>
        <w:lastRenderedPageBreak/>
        <w:t>Para facilitar a verificação da validade d</w:t>
      </w:r>
      <w:r>
        <w:rPr>
          <w:rFonts w:ascii="Times New Roman" w:eastAsia="Calibri" w:hAnsi="Times New Roman" w:cs="Times New Roman"/>
          <w:b/>
          <w:sz w:val="24"/>
          <w:szCs w:val="24"/>
        </w:rPr>
        <w:t>a</w:t>
      </w:r>
      <w:r w:rsidRPr="004D7ED8">
        <w:rPr>
          <w:rFonts w:ascii="Times New Roman" w:eastAsia="Calibri" w:hAnsi="Times New Roman" w:cs="Times New Roman"/>
          <w:b/>
          <w:sz w:val="24"/>
          <w:szCs w:val="24"/>
        </w:rPr>
        <w:t xml:space="preserve">s </w:t>
      </w:r>
      <w:r>
        <w:rPr>
          <w:rFonts w:ascii="Times New Roman" w:eastAsia="Calibri" w:hAnsi="Times New Roman" w:cs="Times New Roman"/>
          <w:b/>
          <w:sz w:val="24"/>
          <w:szCs w:val="24"/>
        </w:rPr>
        <w:t>modificações</w:t>
      </w:r>
      <w:r w:rsidRPr="004D7ED8">
        <w:rPr>
          <w:rFonts w:ascii="Times New Roman" w:eastAsia="Calibri" w:hAnsi="Times New Roman" w:cs="Times New Roman"/>
          <w:b/>
          <w:sz w:val="24"/>
          <w:szCs w:val="24"/>
        </w:rPr>
        <w:t xml:space="preserve"> </w:t>
      </w:r>
      <w:r w:rsidR="002D75C6">
        <w:rPr>
          <w:rFonts w:ascii="Times New Roman" w:eastAsia="Calibri" w:hAnsi="Times New Roman" w:cs="Times New Roman"/>
          <w:b/>
          <w:sz w:val="24"/>
          <w:szCs w:val="24"/>
        </w:rPr>
        <w:t>introduzidas</w:t>
      </w:r>
      <w:r>
        <w:rPr>
          <w:rFonts w:ascii="Times New Roman" w:eastAsia="Calibri" w:hAnsi="Times New Roman" w:cs="Times New Roman"/>
          <w:b/>
          <w:sz w:val="24"/>
          <w:szCs w:val="24"/>
        </w:rPr>
        <w:t xml:space="preserve"> no layout da DIME</w:t>
      </w:r>
      <w:r w:rsidRPr="004D7ED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até </w:t>
      </w:r>
      <w:r w:rsidRPr="004D7ED8">
        <w:rPr>
          <w:rFonts w:ascii="Times New Roman" w:eastAsia="Calibri" w:hAnsi="Times New Roman" w:cs="Times New Roman"/>
          <w:b/>
          <w:sz w:val="24"/>
          <w:szCs w:val="24"/>
        </w:rPr>
        <w:t xml:space="preserve">o dia </w:t>
      </w:r>
      <w:r w:rsidR="00374510">
        <w:rPr>
          <w:rFonts w:ascii="Times New Roman" w:eastAsia="Calibri" w:hAnsi="Times New Roman" w:cs="Times New Roman"/>
          <w:b/>
          <w:sz w:val="24"/>
          <w:szCs w:val="24"/>
        </w:rPr>
        <w:t>20</w:t>
      </w:r>
      <w:r w:rsidRPr="004D7ED8">
        <w:rPr>
          <w:rFonts w:ascii="Times New Roman" w:eastAsia="Calibri" w:hAnsi="Times New Roman" w:cs="Times New Roman"/>
          <w:b/>
          <w:sz w:val="24"/>
          <w:szCs w:val="24"/>
        </w:rPr>
        <w:t xml:space="preserve"> de março de 2017 será liberada versão atualizada do validador para o AMBIENTE DE HOMOLOGAÇÃO WEB SERVICE utilizados pelos desenvolvedores de Aplicativos Geradores de Arquivo DIME.</w:t>
      </w:r>
      <w:bookmarkStart w:id="1" w:name="_GoBack"/>
      <w:bookmarkEnd w:id="1"/>
    </w:p>
    <w:sectPr w:rsidR="006A329C" w:rsidRPr="004D7ED8" w:rsidSect="006A329C">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B5" w:rsidRDefault="005307B5" w:rsidP="00EF7EFE">
      <w:pPr>
        <w:spacing w:after="0" w:line="240" w:lineRule="auto"/>
      </w:pPr>
      <w:r>
        <w:separator/>
      </w:r>
    </w:p>
  </w:endnote>
  <w:endnote w:type="continuationSeparator" w:id="0">
    <w:p w:rsidR="005307B5" w:rsidRDefault="005307B5" w:rsidP="00EF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02455"/>
      <w:docPartObj>
        <w:docPartGallery w:val="Page Numbers (Bottom of Page)"/>
        <w:docPartUnique/>
      </w:docPartObj>
    </w:sdtPr>
    <w:sdtEndPr/>
    <w:sdtContent>
      <w:p w:rsidR="00EF7EFE" w:rsidRDefault="00EF7EFE">
        <w:pPr>
          <w:pStyle w:val="Rodap"/>
          <w:jc w:val="center"/>
        </w:pPr>
        <w:r>
          <w:fldChar w:fldCharType="begin"/>
        </w:r>
        <w:r>
          <w:instrText>PAGE   \* MERGEFORMAT</w:instrText>
        </w:r>
        <w:r>
          <w:fldChar w:fldCharType="separate"/>
        </w:r>
        <w:r w:rsidR="00D504FC">
          <w:rPr>
            <w:noProof/>
          </w:rPr>
          <w:t>6</w:t>
        </w:r>
        <w:r>
          <w:fldChar w:fldCharType="end"/>
        </w:r>
      </w:p>
    </w:sdtContent>
  </w:sdt>
  <w:p w:rsidR="00EF7EFE" w:rsidRDefault="00EF7E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B5" w:rsidRDefault="005307B5" w:rsidP="00EF7EFE">
      <w:pPr>
        <w:spacing w:after="0" w:line="240" w:lineRule="auto"/>
      </w:pPr>
      <w:r>
        <w:separator/>
      </w:r>
    </w:p>
  </w:footnote>
  <w:footnote w:type="continuationSeparator" w:id="0">
    <w:p w:rsidR="005307B5" w:rsidRDefault="005307B5" w:rsidP="00EF7E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9C"/>
    <w:rsid w:val="00056E1D"/>
    <w:rsid w:val="000A77F5"/>
    <w:rsid w:val="00182276"/>
    <w:rsid w:val="002C3158"/>
    <w:rsid w:val="002D75C6"/>
    <w:rsid w:val="00315899"/>
    <w:rsid w:val="00344264"/>
    <w:rsid w:val="00374510"/>
    <w:rsid w:val="0047693E"/>
    <w:rsid w:val="004C4C14"/>
    <w:rsid w:val="00520442"/>
    <w:rsid w:val="005307B5"/>
    <w:rsid w:val="005C154D"/>
    <w:rsid w:val="006A329C"/>
    <w:rsid w:val="006B14D0"/>
    <w:rsid w:val="007B7DEF"/>
    <w:rsid w:val="00821D85"/>
    <w:rsid w:val="00822722"/>
    <w:rsid w:val="00830943"/>
    <w:rsid w:val="00841710"/>
    <w:rsid w:val="00871FE6"/>
    <w:rsid w:val="008E099A"/>
    <w:rsid w:val="009525BA"/>
    <w:rsid w:val="00974C22"/>
    <w:rsid w:val="00B773F1"/>
    <w:rsid w:val="00BE04C9"/>
    <w:rsid w:val="00BE7FE5"/>
    <w:rsid w:val="00C67603"/>
    <w:rsid w:val="00CD73AB"/>
    <w:rsid w:val="00D00504"/>
    <w:rsid w:val="00D34FF0"/>
    <w:rsid w:val="00D504FC"/>
    <w:rsid w:val="00D97FDD"/>
    <w:rsid w:val="00E272FB"/>
    <w:rsid w:val="00EA10ED"/>
    <w:rsid w:val="00EF7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A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32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C4C14"/>
    <w:pPr>
      <w:ind w:left="720"/>
      <w:contextualSpacing/>
    </w:pPr>
  </w:style>
  <w:style w:type="paragraph" w:styleId="Cabealho">
    <w:name w:val="header"/>
    <w:basedOn w:val="Normal"/>
    <w:link w:val="CabealhoChar"/>
    <w:uiPriority w:val="99"/>
    <w:unhideWhenUsed/>
    <w:rsid w:val="00EF7E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EFE"/>
  </w:style>
  <w:style w:type="paragraph" w:styleId="Rodap">
    <w:name w:val="footer"/>
    <w:basedOn w:val="Normal"/>
    <w:link w:val="RodapChar"/>
    <w:uiPriority w:val="99"/>
    <w:unhideWhenUsed/>
    <w:rsid w:val="00EF7EFE"/>
    <w:pPr>
      <w:tabs>
        <w:tab w:val="center" w:pos="4252"/>
        <w:tab w:val="right" w:pos="8504"/>
      </w:tabs>
      <w:spacing w:after="0" w:line="240" w:lineRule="auto"/>
    </w:pPr>
  </w:style>
  <w:style w:type="character" w:customStyle="1" w:styleId="RodapChar">
    <w:name w:val="Rodapé Char"/>
    <w:basedOn w:val="Fontepargpadro"/>
    <w:link w:val="Rodap"/>
    <w:uiPriority w:val="99"/>
    <w:rsid w:val="00EF7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A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32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C4C14"/>
    <w:pPr>
      <w:ind w:left="720"/>
      <w:contextualSpacing/>
    </w:pPr>
  </w:style>
  <w:style w:type="paragraph" w:styleId="Cabealho">
    <w:name w:val="header"/>
    <w:basedOn w:val="Normal"/>
    <w:link w:val="CabealhoChar"/>
    <w:uiPriority w:val="99"/>
    <w:unhideWhenUsed/>
    <w:rsid w:val="00EF7E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EFE"/>
  </w:style>
  <w:style w:type="paragraph" w:styleId="Rodap">
    <w:name w:val="footer"/>
    <w:basedOn w:val="Normal"/>
    <w:link w:val="RodapChar"/>
    <w:uiPriority w:val="99"/>
    <w:unhideWhenUsed/>
    <w:rsid w:val="00EF7EFE"/>
    <w:pPr>
      <w:tabs>
        <w:tab w:val="center" w:pos="4252"/>
        <w:tab w:val="right" w:pos="8504"/>
      </w:tabs>
      <w:spacing w:after="0" w:line="240" w:lineRule="auto"/>
    </w:pPr>
  </w:style>
  <w:style w:type="character" w:customStyle="1" w:styleId="RodapChar">
    <w:name w:val="Rodapé Char"/>
    <w:basedOn w:val="Fontepargpadro"/>
    <w:link w:val="Rodap"/>
    <w:uiPriority w:val="99"/>
    <w:rsid w:val="00EF7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11340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Baranenko</dc:creator>
  <cp:lastModifiedBy>Usuário</cp:lastModifiedBy>
  <cp:revision>2</cp:revision>
  <cp:lastPrinted>2017-03-09T19:29:00Z</cp:lastPrinted>
  <dcterms:created xsi:type="dcterms:W3CDTF">2017-03-15T14:19:00Z</dcterms:created>
  <dcterms:modified xsi:type="dcterms:W3CDTF">2017-03-15T14:19:00Z</dcterms:modified>
</cp:coreProperties>
</file>