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1A" w:rsidRDefault="000B1D1A" w:rsidP="00F615B4">
      <w:pPr>
        <w:rPr>
          <w:rFonts w:ascii="Times New Roman" w:hAnsi="Times New Roman" w:cs="Times New Roman"/>
          <w:sz w:val="24"/>
          <w:szCs w:val="24"/>
        </w:rPr>
      </w:pPr>
    </w:p>
    <w:p w:rsidR="00316276" w:rsidRDefault="009A7A0B" w:rsidP="00316276">
      <w:pPr>
        <w:widowControl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A7A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INSTRUÇÃO NORMATIVA </w:t>
      </w:r>
      <w:r w:rsidR="00B67FBA" w:rsidRPr="00BC68D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SEF/SEA </w:t>
      </w:r>
      <w:r w:rsidRPr="009A7A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nº </w:t>
      </w:r>
      <w:r w:rsidR="00ED7704" w:rsidRPr="00BC68D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1</w:t>
      </w:r>
      <w:r w:rsidRPr="009A7A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- de </w:t>
      </w:r>
      <w:r w:rsidR="00B757D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05</w:t>
      </w:r>
      <w:r w:rsidRPr="009A7A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/</w:t>
      </w:r>
      <w:r w:rsidR="00B757D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08</w:t>
      </w:r>
      <w:r w:rsidRPr="009A7A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/201</w:t>
      </w:r>
      <w:r w:rsidR="00ED7704" w:rsidRPr="00BC68D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5</w:t>
      </w:r>
      <w:r w:rsidR="0031627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316276" w:rsidRDefault="00316276" w:rsidP="00316276">
      <w:pPr>
        <w:widowControl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9A7A0B" w:rsidRPr="009A7A0B" w:rsidRDefault="00316276" w:rsidP="00316276">
      <w:pPr>
        <w:widowControl/>
        <w:adjustRightInd w:val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(</w:t>
      </w:r>
      <w:r w:rsidRPr="00316276">
        <w:rPr>
          <w:rFonts w:eastAsia="Times New Roman" w:cs="Arial"/>
          <w:b/>
          <w:color w:val="auto"/>
          <w:szCs w:val="16"/>
        </w:rPr>
        <w:t>PUBLICADA NO DOE Nº 20.122, P. 4, DE 14/08/15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)</w:t>
      </w:r>
    </w:p>
    <w:p w:rsidR="00182016" w:rsidRDefault="00182016" w:rsidP="00117A1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17A16" w:rsidRDefault="00117A16" w:rsidP="00117A1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A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Estabelece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n</w:t>
      </w:r>
      <w:r w:rsidRPr="009A7A0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ormas </w:t>
      </w:r>
      <w:r w:rsidRPr="00BC68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para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aperfeiçoamento dos controles de atos de pessoal e </w:t>
      </w:r>
      <w:r w:rsidR="00AD7947">
        <w:rPr>
          <w:rFonts w:ascii="Times New Roman" w:eastAsia="Times New Roman" w:hAnsi="Times New Roman" w:cs="Times New Roman"/>
          <w:color w:val="auto"/>
          <w:sz w:val="24"/>
          <w:szCs w:val="24"/>
        </w:rPr>
        <w:t>ressarcimento de remuneração de servidores</w:t>
      </w:r>
      <w:r w:rsidR="00092C9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 empregados</w:t>
      </w:r>
      <w:r w:rsidR="00AD794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públicos</w:t>
      </w:r>
      <w:r w:rsidR="00092C9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D14B71" w:rsidRDefault="00D14B71" w:rsidP="00117A16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82504" w:rsidRDefault="00182504" w:rsidP="00182504">
      <w:pPr>
        <w:widowControl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>Secret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á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Estado da Fazenda, na qualidade de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Titular do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Órgão Central dos 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>Sistema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 </w:t>
      </w:r>
      <w:r w:rsidRPr="00BC68D5">
        <w:rPr>
          <w:rFonts w:ascii="Times New Roman" w:eastAsia="Times New Roman" w:hAnsi="Times New Roman" w:cs="Times New Roman"/>
          <w:color w:val="auto"/>
          <w:sz w:val="24"/>
          <w:szCs w:val="24"/>
        </w:rPr>
        <w:t>Administração Financeira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5F1F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 </w:t>
      </w:r>
      <w:r w:rsidR="005F1F5D"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>de Controle Interno</w:t>
      </w:r>
      <w:r w:rsidR="005F1F5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do Poder Executivo</w:t>
      </w:r>
      <w:r w:rsidRPr="00BC68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e o 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>Secret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ário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Estado da</w:t>
      </w:r>
      <w:r w:rsidRPr="00BC68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Administração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Titular do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Órgão Central do 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>Sistema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</w:t>
      </w:r>
      <w:r w:rsidRPr="00BC68D5">
        <w:rPr>
          <w:rFonts w:ascii="Times New Roman" w:eastAsia="Times New Roman" w:hAnsi="Times New Roman" w:cs="Times New Roman"/>
          <w:color w:val="auto"/>
          <w:sz w:val="24"/>
          <w:szCs w:val="24"/>
        </w:rPr>
        <w:t>Gestão de Pessoas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14B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no uso de suas atribuições e 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conforme </w:t>
      </w:r>
      <w:r w:rsidR="00D14B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 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>disposto</w:t>
      </w:r>
      <w:r w:rsidR="005F1F5D">
        <w:rPr>
          <w:rFonts w:ascii="Times New Roman" w:eastAsia="Times New Roman" w:hAnsi="Times New Roman" w:cs="Times New Roman"/>
          <w:color w:val="auto"/>
          <w:sz w:val="24"/>
          <w:szCs w:val="24"/>
        </w:rPr>
        <w:t>, respectivamente,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no </w:t>
      </w:r>
      <w:r w:rsidRPr="00BC68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art. 30, </w:t>
      </w:r>
      <w:proofErr w:type="spellStart"/>
      <w:r w:rsidRPr="00BC68D5">
        <w:rPr>
          <w:rFonts w:ascii="Times New Roman" w:eastAsia="Times New Roman" w:hAnsi="Times New Roman" w:cs="Times New Roman"/>
          <w:color w:val="auto"/>
          <w:sz w:val="24"/>
          <w:szCs w:val="24"/>
        </w:rPr>
        <w:t>incs</w:t>
      </w:r>
      <w:proofErr w:type="spellEnd"/>
      <w:r w:rsidRPr="00BC68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proofErr w:type="gramStart"/>
      <w:r w:rsidRPr="00BC68D5">
        <w:rPr>
          <w:rFonts w:ascii="Times New Roman" w:eastAsia="Times New Roman" w:hAnsi="Times New Roman" w:cs="Times New Roman"/>
          <w:color w:val="auto"/>
          <w:sz w:val="24"/>
          <w:szCs w:val="24"/>
        </w:rPr>
        <w:t>I, II</w:t>
      </w:r>
      <w:proofErr w:type="gramEnd"/>
      <w:r w:rsidRPr="00BC68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 VI, 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>da Lei Complementar nº 381, de 07 de maio de 2007</w:t>
      </w:r>
      <w:r w:rsidR="00B222D2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e,</w:t>
      </w:r>
    </w:p>
    <w:p w:rsidR="00193C07" w:rsidRDefault="00193C07" w:rsidP="00F615B4">
      <w:pPr>
        <w:widowControl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03B2" w:rsidRPr="00EF4B9E" w:rsidRDefault="005403B2" w:rsidP="005403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F4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Considerando a possibilidade de cessão de servidor </w:t>
      </w:r>
      <w:r w:rsidR="00D335D3" w:rsidRPr="00EF4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 empregado </w:t>
      </w:r>
      <w:r w:rsidRPr="00EF4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público, </w:t>
      </w:r>
      <w:r w:rsidR="00916C0A" w:rsidRPr="00EF4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regulamentada</w:t>
      </w:r>
      <w:r w:rsidR="00D335D3" w:rsidRPr="00EF4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respectivamente,</w:t>
      </w:r>
      <w:r w:rsidR="00916C0A" w:rsidRPr="00EF4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4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no Decreto nº 1.073, de 17 de julho de 2012</w:t>
      </w:r>
      <w:r w:rsidR="00D335D3" w:rsidRPr="00EF4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 na </w:t>
      </w:r>
      <w:r w:rsidR="00B222D2" w:rsidRPr="00EF4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Resolução nº 017/2012 do Conselho de Política Financeira (CPF) do Estado</w:t>
      </w:r>
      <w:r w:rsidRPr="00EF4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5403B2" w:rsidRDefault="005403B2" w:rsidP="005403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403B2" w:rsidRDefault="005403B2" w:rsidP="005403B2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0D6F">
        <w:rPr>
          <w:rFonts w:ascii="Times New Roman" w:eastAsia="Times New Roman" w:hAnsi="Times New Roman" w:cs="Times New Roman"/>
          <w:color w:val="auto"/>
          <w:sz w:val="24"/>
          <w:szCs w:val="24"/>
        </w:rPr>
        <w:t>Considerando 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possibilidade de o Estado ressarcir a remuneração de servidores e empregados públicos de outros Poderes e esferas de Governo, </w:t>
      </w:r>
      <w:r w:rsidR="006449C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consoante o </w:t>
      </w:r>
      <w:r w:rsidR="006449CF" w:rsidRPr="00BC68D5">
        <w:rPr>
          <w:rFonts w:ascii="Times New Roman" w:hAnsi="Times New Roman" w:cs="Times New Roman"/>
          <w:color w:val="auto"/>
          <w:sz w:val="24"/>
          <w:szCs w:val="24"/>
        </w:rPr>
        <w:t xml:space="preserve">art. 187, §§ </w:t>
      </w:r>
      <w:r w:rsidR="00D14B71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449CF" w:rsidRPr="00BC68D5">
        <w:rPr>
          <w:rFonts w:ascii="Times New Roman" w:hAnsi="Times New Roman" w:cs="Times New Roman"/>
          <w:color w:val="auto"/>
          <w:sz w:val="24"/>
          <w:szCs w:val="24"/>
        </w:rPr>
        <w:t xml:space="preserve">º e </w:t>
      </w:r>
      <w:r w:rsidR="00D14B7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6449CF" w:rsidRPr="00BC68D5">
        <w:rPr>
          <w:rFonts w:ascii="Times New Roman" w:hAnsi="Times New Roman" w:cs="Times New Roman"/>
          <w:color w:val="auto"/>
          <w:sz w:val="24"/>
          <w:szCs w:val="24"/>
        </w:rPr>
        <w:t>º, e art. 187-A da Lei Complementar nº 381, de 07 de maio de 2007</w:t>
      </w:r>
      <w:r w:rsidR="006449CF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5403B2" w:rsidRDefault="005403B2" w:rsidP="00F615B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615B4" w:rsidRDefault="00090D6F" w:rsidP="00F615B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0D6F">
        <w:rPr>
          <w:rFonts w:ascii="Times New Roman" w:eastAsia="Times New Roman" w:hAnsi="Times New Roman" w:cs="Times New Roman"/>
          <w:color w:val="auto"/>
          <w:sz w:val="24"/>
          <w:szCs w:val="24"/>
        </w:rPr>
        <w:t>Considerando a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importância em se zelar pela regularidade das despesas públicas e observância dos princípios estabelecidos no art. 37 do texto constitucional;</w:t>
      </w:r>
    </w:p>
    <w:p w:rsidR="00090D6F" w:rsidRDefault="00090D6F" w:rsidP="00F615B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A62FF" w:rsidRDefault="00090D6F" w:rsidP="00090D6F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90D6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Considerando </w:t>
      </w:r>
      <w:r w:rsidR="00BA62F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que a integração dos Sistemas de Controle Interno entre os Poderes, prevista no art. 74 da Constituição Federal, ainda não se encontra </w:t>
      </w:r>
      <w:proofErr w:type="gramStart"/>
      <w:r w:rsidR="00BA62FF">
        <w:rPr>
          <w:rFonts w:ascii="Times New Roman" w:eastAsia="Times New Roman" w:hAnsi="Times New Roman" w:cs="Times New Roman"/>
          <w:color w:val="auto"/>
          <w:sz w:val="24"/>
          <w:szCs w:val="24"/>
        </w:rPr>
        <w:t>implementada</w:t>
      </w:r>
      <w:proofErr w:type="gramEnd"/>
      <w:r w:rsidR="00BA62FF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090D6F" w:rsidRPr="009A7A0B" w:rsidRDefault="00090D6F" w:rsidP="00F615B4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A62FF" w:rsidRDefault="00BA62FF" w:rsidP="00F615B4">
      <w:pPr>
        <w:widowControl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Considerando que o controle preventivo da despesa pública produz mais eficácia e contribui para o equilíbrio fiscal das contas públicas;</w:t>
      </w:r>
    </w:p>
    <w:p w:rsidR="00BA62FF" w:rsidRDefault="00BA62FF" w:rsidP="00F615B4">
      <w:pPr>
        <w:widowControl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615B4" w:rsidRDefault="00F615B4" w:rsidP="00F615B4">
      <w:pPr>
        <w:widowControl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A7A0B" w:rsidRPr="009A7A0B" w:rsidRDefault="009A7A0B" w:rsidP="00F615B4">
      <w:pPr>
        <w:widowControl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A0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RESOLVE</w:t>
      </w:r>
      <w:r w:rsidR="002F2C47" w:rsidRPr="00BC68D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M</w:t>
      </w:r>
      <w:r w:rsidRPr="009A7A0B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9A7A0B" w:rsidRPr="009A7A0B" w:rsidRDefault="009A7A0B" w:rsidP="00F615B4">
      <w:pPr>
        <w:widowControl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A7A0B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</w:p>
    <w:p w:rsidR="00175709" w:rsidRPr="000E7F69" w:rsidRDefault="00BC68D5" w:rsidP="003578AF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Art. 1º Orientar</w:t>
      </w:r>
      <w:r w:rsidR="009A7A0B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os órgãos setoriais e seccionais d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 </w:t>
      </w:r>
      <w:r w:rsidR="00BA62FF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Gestão de Pessoas </w:t>
      </w:r>
      <w:r w:rsidR="00175709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dos órgãos e entidades 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d</w:t>
      </w:r>
      <w:r w:rsidR="009A7A0B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a Administração Direta, Autárquica</w:t>
      </w:r>
      <w:r w:rsidR="00915BB5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9A7A0B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Fundacional</w:t>
      </w:r>
      <w:r w:rsidR="00915BB5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do Poder Executivo do Estado</w:t>
      </w:r>
      <w:r w:rsidR="009A7A0B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15BB5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e suas Entidades da Administração Indireta</w:t>
      </w:r>
      <w:r w:rsidR="007418F9" w:rsidRPr="007418F9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="00915BB5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que recebem recursos do Tesouro Estadual para pagamento de despesas de pessoal ou de custeio em geral</w:t>
      </w:r>
      <w:r w:rsidR="008A0D38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915BB5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175709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para observância dos seguintes procedimentos:</w:t>
      </w:r>
    </w:p>
    <w:p w:rsidR="003578AF" w:rsidRPr="000E7F69" w:rsidRDefault="003578AF" w:rsidP="003578AF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 - quanto aos servidores </w:t>
      </w:r>
      <w:r w:rsidR="00915BB5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ou empregados 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públicos de suas estruturas que se encontram afastados, a qualquer título, com pagamento da remuneração pela origem:</w:t>
      </w:r>
    </w:p>
    <w:p w:rsidR="00175709" w:rsidRPr="000E7F69" w:rsidRDefault="003578AF" w:rsidP="003578AF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a)</w:t>
      </w:r>
      <w:r w:rsidR="00175709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envio de cópia d</w:t>
      </w:r>
      <w:r w:rsidR="00BA1D99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a publicação d</w:t>
      </w:r>
      <w:r w:rsidR="00175709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 ato autorizativo do respectivo afastamento ao </w:t>
      </w:r>
      <w:r w:rsidR="00CE3AB6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Órgão ou Poder </w:t>
      </w:r>
      <w:r w:rsidR="00175709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 destino para conhecimento; </w:t>
      </w:r>
    </w:p>
    <w:p w:rsidR="00092C99" w:rsidRPr="000E7F69" w:rsidRDefault="003578AF" w:rsidP="003578AF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b)</w:t>
      </w:r>
      <w:r w:rsidR="00175709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solicitação</w:t>
      </w:r>
      <w:r w:rsidR="0086748F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ao Órgão ou Poder de destino</w:t>
      </w:r>
      <w:r w:rsidR="00175709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declaração, a ser emitida pelo </w:t>
      </w:r>
      <w:r w:rsidR="0086748F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respectivo </w:t>
      </w:r>
      <w:r w:rsidR="00175709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Setor de Recursos Humanos, </w:t>
      </w:r>
      <w:r w:rsidR="0086748F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atestando que o servidor</w:t>
      </w:r>
      <w:r w:rsidR="00281B74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915BB5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ou empregado público </w:t>
      </w:r>
      <w:r w:rsidR="00281B74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de que trata a alínea “a” deste inciso,</w:t>
      </w:r>
      <w:r w:rsidR="0086748F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renunciou </w:t>
      </w:r>
      <w:r w:rsidR="00A71BBC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à</w:t>
      </w:r>
      <w:r w:rsidR="0086748F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remuneração da função exercida no local de destino,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86748F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que pode ser de cargo comissionado, mandato legislativo, dentre outros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, ressalvada</w:t>
      </w:r>
      <w:r w:rsidR="00281B74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no que </w:t>
      </w:r>
      <w:proofErr w:type="gramStart"/>
      <w:r w:rsidR="00281B74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couber,</w:t>
      </w:r>
      <w:proofErr w:type="gramEnd"/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eventual gratificação própria do local do trabalho ou exercício do cargo, que, nesse caso, deve ser demonstrada</w:t>
      </w:r>
      <w:r w:rsidR="00281B74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 fundamentada</w:t>
      </w:r>
      <w:r w:rsidR="00092C99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B86782" w:rsidRPr="000E7F69" w:rsidRDefault="00B86782" w:rsidP="00B86782">
      <w:pPr>
        <w:pStyle w:val="Artigo"/>
        <w:spacing w:before="120" w:after="120"/>
        <w:ind w:firstLine="0"/>
        <w:rPr>
          <w:szCs w:val="24"/>
        </w:rPr>
      </w:pPr>
      <w:r w:rsidRPr="000E7F69">
        <w:rPr>
          <w:szCs w:val="24"/>
        </w:rPr>
        <w:t xml:space="preserve">c) </w:t>
      </w:r>
      <w:r w:rsidR="00915BB5" w:rsidRPr="000E7F69">
        <w:rPr>
          <w:szCs w:val="24"/>
        </w:rPr>
        <w:t>o</w:t>
      </w:r>
      <w:r w:rsidRPr="000E7F69">
        <w:rPr>
          <w:szCs w:val="24"/>
        </w:rPr>
        <w:t xml:space="preserve"> pedido de afastamento ou cessão de que trata este artigo deverá estar instruído de análise, por parte dos setoriais e seccionais de Gestão de Pessoas, </w:t>
      </w:r>
      <w:r w:rsidR="00B5622F" w:rsidRPr="000E7F69">
        <w:rPr>
          <w:szCs w:val="24"/>
        </w:rPr>
        <w:t xml:space="preserve">sobre eventual </w:t>
      </w:r>
      <w:r w:rsidRPr="000E7F69">
        <w:rPr>
          <w:szCs w:val="24"/>
        </w:rPr>
        <w:t xml:space="preserve">perda </w:t>
      </w:r>
      <w:r w:rsidRPr="000E7F69">
        <w:rPr>
          <w:szCs w:val="24"/>
        </w:rPr>
        <w:lastRenderedPageBreak/>
        <w:t xml:space="preserve">de vantagem funcional </w:t>
      </w:r>
      <w:proofErr w:type="gramStart"/>
      <w:r w:rsidRPr="000E7F69">
        <w:rPr>
          <w:szCs w:val="24"/>
        </w:rPr>
        <w:t xml:space="preserve">ou remuneratória, </w:t>
      </w:r>
      <w:r w:rsidR="00A71BBC" w:rsidRPr="000E7F69">
        <w:rPr>
          <w:szCs w:val="24"/>
        </w:rPr>
        <w:t xml:space="preserve">em razão de o servidor </w:t>
      </w:r>
      <w:r w:rsidR="00915BB5" w:rsidRPr="000E7F69">
        <w:rPr>
          <w:szCs w:val="24"/>
        </w:rPr>
        <w:t>ou empregado público</w:t>
      </w:r>
      <w:proofErr w:type="gramEnd"/>
      <w:r w:rsidR="00915BB5" w:rsidRPr="000E7F69">
        <w:rPr>
          <w:szCs w:val="24"/>
        </w:rPr>
        <w:t xml:space="preserve"> </w:t>
      </w:r>
      <w:r w:rsidR="00516F82" w:rsidRPr="000E7F69">
        <w:rPr>
          <w:szCs w:val="24"/>
        </w:rPr>
        <w:t>vir a passar a ter e</w:t>
      </w:r>
      <w:r w:rsidR="00B5622F" w:rsidRPr="000E7F69">
        <w:rPr>
          <w:szCs w:val="24"/>
        </w:rPr>
        <w:t xml:space="preserve">xercício fora de sua lotação, </w:t>
      </w:r>
      <w:r w:rsidRPr="000E7F69">
        <w:rPr>
          <w:szCs w:val="24"/>
        </w:rPr>
        <w:t xml:space="preserve">hipótese em que deverá constar dos autos, se for o caso, a anuência expressa do servidor </w:t>
      </w:r>
      <w:r w:rsidR="00915BB5" w:rsidRPr="000E7F69">
        <w:rPr>
          <w:szCs w:val="24"/>
        </w:rPr>
        <w:t xml:space="preserve">ou empregado público </w:t>
      </w:r>
      <w:r w:rsidRPr="000E7F69">
        <w:rPr>
          <w:szCs w:val="24"/>
        </w:rPr>
        <w:t>sobre tal fato, para que o correspondente cancelamento do benefício na folha de pagamento ocorra tempestivamente quando da edição do Ato;</w:t>
      </w:r>
    </w:p>
    <w:p w:rsidR="00980E6B" w:rsidRPr="000E7F69" w:rsidRDefault="00B86782" w:rsidP="00980E6B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d</w:t>
      </w:r>
      <w:r w:rsidR="00980E6B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) as providências previstas nas alíneas “a” e “b” deste inciso I deste artigo devem ser adotadas imediatamente</w:t>
      </w:r>
      <w:r w:rsidR="004F363A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, quanto aos afastamentos vigentes e</w:t>
      </w:r>
      <w:r w:rsidR="00911767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F363A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tempestivamente</w:t>
      </w:r>
      <w:r w:rsidR="00911767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4F363A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nos demais casos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inclusive em relação </w:t>
      </w:r>
      <w:r w:rsidR="00B5622F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ao disposto na 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alínea “c”</w:t>
      </w:r>
      <w:r w:rsidR="00980E6B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500CC" w:rsidRPr="000E7F69" w:rsidRDefault="00F500CC" w:rsidP="003578AF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578AF" w:rsidRPr="000E7F69" w:rsidRDefault="003578AF" w:rsidP="003578AF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II - quanto aos</w:t>
      </w:r>
      <w:r w:rsidR="00CE3AB6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servidores e empregados públicos de outros Poderes e esferas de Governo que se </w:t>
      </w:r>
      <w:proofErr w:type="gramStart"/>
      <w:r w:rsidR="00CE3AB6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encontram</w:t>
      </w:r>
      <w:proofErr w:type="gramEnd"/>
      <w:r w:rsidR="00CE3AB6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em exercício, a qualquer título, em suas unidades </w:t>
      </w:r>
      <w:proofErr w:type="spellStart"/>
      <w:r w:rsidR="00CE3AB6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lotacionais</w:t>
      </w:r>
      <w:proofErr w:type="spellEnd"/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3578AF" w:rsidRPr="000E7F69" w:rsidRDefault="00CE3AB6" w:rsidP="003578AF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a) </w:t>
      </w:r>
      <w:r w:rsidR="009E56FE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de existência de autoriza</w:t>
      </w:r>
      <w:r w:rsidR="00B86782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ção expressa </w:t>
      </w:r>
      <w:r w:rsidR="009E56FE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 Titular do respectivo órgão ou Entidade e </w:t>
      </w:r>
      <w:r w:rsidR="00B86782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sua homologação pelo Chefe do Poder Executivo Estadual, anuindo </w:t>
      </w:r>
      <w:proofErr w:type="gramStart"/>
      <w:r w:rsidR="00B86782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proofErr w:type="gramEnd"/>
      <w:r w:rsidR="009E56FE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cessão</w:t>
      </w:r>
      <w:r w:rsidR="00C15D83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 o ressarcimento, se for o caso</w:t>
      </w:r>
      <w:r w:rsidR="0067617D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, de acordo com o art. 13, do Decreto nº 1.073/12.</w:t>
      </w:r>
    </w:p>
    <w:p w:rsidR="00175709" w:rsidRDefault="00185CE5" w:rsidP="003578AF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b) </w:t>
      </w:r>
      <w:r w:rsidR="00516F82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 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registro no Sistema Integrado de Gestão de Recursos Humanos de todos os servidores ou empregados </w:t>
      </w:r>
      <w:r w:rsidR="006F18B6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de que trata este inciso, a ser </w:t>
      </w:r>
      <w:proofErr w:type="gramStart"/>
      <w:r w:rsidR="006F18B6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efetuado</w:t>
      </w:r>
      <w:r w:rsidR="00915BB5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, no que se refere aos órgãos e entidades da Administração Direta, Autárquica, Fundacional,</w:t>
      </w:r>
      <w:r w:rsidR="006F18B6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por intermédio da Diretoria de Gestão e Desenvolvimento de Pessoas /Gerência de Ingresso e Movimentação de Pessoal, da Secretaria</w:t>
      </w:r>
      <w:r w:rsidR="00915BB5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Estado</w:t>
      </w:r>
      <w:r w:rsidR="006F18B6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 Administração</w:t>
      </w:r>
      <w:r w:rsidR="000F5F6A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com exceção das </w:t>
      </w:r>
      <w:r w:rsidR="000F5F6A" w:rsidRPr="00695BA3">
        <w:rPr>
          <w:rFonts w:ascii="Times New Roman" w:eastAsia="Times New Roman" w:hAnsi="Times New Roman" w:cs="Times New Roman"/>
          <w:color w:val="auto"/>
          <w:sz w:val="24"/>
          <w:szCs w:val="24"/>
        </w:rPr>
        <w:t>situações que envolvem o convênio do S</w:t>
      </w:r>
      <w:r w:rsidR="007418F9" w:rsidRPr="00695BA3">
        <w:rPr>
          <w:rFonts w:ascii="Times New Roman" w:eastAsia="Times New Roman" w:hAnsi="Times New Roman" w:cs="Times New Roman"/>
          <w:color w:val="auto"/>
          <w:sz w:val="24"/>
          <w:szCs w:val="24"/>
        </w:rPr>
        <w:t>istema Único de Saúde</w:t>
      </w:r>
      <w:r w:rsidR="000F5F6A" w:rsidRPr="00695B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que será efetuado pela </w:t>
      </w:r>
      <w:r w:rsidR="007418F9" w:rsidRPr="00695BA3">
        <w:rPr>
          <w:rFonts w:ascii="Times New Roman" w:eastAsia="Times New Roman" w:hAnsi="Times New Roman" w:cs="Times New Roman"/>
          <w:color w:val="auto"/>
          <w:sz w:val="24"/>
          <w:szCs w:val="24"/>
        </w:rPr>
        <w:t>Secretaria de Estado da Saúde</w:t>
      </w:r>
      <w:proofErr w:type="gramEnd"/>
      <w:r w:rsidR="00516F82" w:rsidRPr="00695B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833987" w:rsidRDefault="00833987" w:rsidP="003578AF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57A1D" w:rsidRPr="00695BA3" w:rsidRDefault="00357A1D" w:rsidP="003578AF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915BB5" w:rsidRPr="000E7F69" w:rsidRDefault="00915BB5" w:rsidP="003578AF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95BA3">
        <w:rPr>
          <w:rFonts w:ascii="Times New Roman" w:eastAsia="Times New Roman" w:hAnsi="Times New Roman" w:cs="Times New Roman"/>
          <w:color w:val="auto"/>
          <w:sz w:val="24"/>
          <w:szCs w:val="24"/>
        </w:rPr>
        <w:t>c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) quanto às Entidades da Administração Indireta, que recebem recursos do Tesouro Estadual para pagamento de despesas de pessoal ou de custeio em geral, o</w:t>
      </w:r>
      <w:r w:rsidR="008A0D38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registro</w:t>
      </w:r>
      <w:r w:rsidR="008A0D38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s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no Sistema Integrado de Gestão de Recursos Humanos</w:t>
      </w:r>
      <w:r w:rsidR="008A0D38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deverão ser feitos pelos respectivos seccionais de Gestão de Pessoas.</w:t>
      </w:r>
    </w:p>
    <w:p w:rsidR="009E56FE" w:rsidRPr="00F500CC" w:rsidRDefault="009E56FE" w:rsidP="009E56FE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III – sobre a obrigatoriedade de todos os detentores de cargos, emprego ou função pública firmarem a Declaração de Acumulação de Cargos, Empregos e/ou Funções, 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MLR-</w:t>
      </w:r>
      <w:r w:rsidR="00C949E8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127,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disponível no sitio </w:t>
      </w:r>
      <w:hyperlink r:id="rId7" w:history="1">
        <w:r w:rsidRPr="005226A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http://www.portaldoservidor.sc.gov.br</w:t>
        </w:r>
      </w:hyperlink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por ocasião das </w:t>
      </w:r>
      <w:r w:rsidRPr="00F500CC">
        <w:rPr>
          <w:rFonts w:ascii="Times New Roman" w:eastAsia="Times New Roman" w:hAnsi="Times New Roman" w:cs="Times New Roman"/>
          <w:color w:val="auto"/>
          <w:sz w:val="24"/>
          <w:szCs w:val="24"/>
        </w:rPr>
        <w:t>nomeações</w:t>
      </w:r>
      <w:r w:rsidR="00955FD3" w:rsidRPr="00F500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</w:t>
      </w:r>
      <w:r w:rsidRPr="00F500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designações</w:t>
      </w:r>
      <w:r w:rsidR="00FF4DB3" w:rsidRPr="00F500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 eventuais movimentações</w:t>
      </w:r>
      <w:r w:rsidRPr="00F500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605AB6" w:rsidRDefault="00605AB6" w:rsidP="00185CE5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185CE5" w:rsidRPr="000E7F69" w:rsidRDefault="00185CE5" w:rsidP="00185CE5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Art. </w:t>
      </w:r>
      <w:r w:rsidR="009C3641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º Orientar os órgãos setoriais e seccionais de </w:t>
      </w:r>
      <w:r w:rsidR="009C3641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Administração Financeira 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dos órgãos e entidades da Administração Direta, Autárquica e Fundacional do Poder Executivo do Estado</w:t>
      </w:r>
      <w:r w:rsidR="008A0D38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 suas Entidades da Administração Indireta</w:t>
      </w:r>
      <w:r w:rsidR="007418F9" w:rsidRPr="007418F9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="008A0D38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que recebem recursos do Tesouro Estadual para pagamento de despesas de pessoal ou de custeio em geral,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AB31AB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quanto aos servidores e empregados públicos de outros Poderes e esferas de Governo que se </w:t>
      </w:r>
      <w:proofErr w:type="gramStart"/>
      <w:r w:rsidR="00AB31AB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encontram</w:t>
      </w:r>
      <w:proofErr w:type="gramEnd"/>
      <w:r w:rsidR="00AB31AB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em exercício, a qualquer título, em suas unidades </w:t>
      </w:r>
      <w:proofErr w:type="spellStart"/>
      <w:r w:rsidR="00AB31AB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lotacionais</w:t>
      </w:r>
      <w:proofErr w:type="spellEnd"/>
      <w:r w:rsidR="00AB31AB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, para observância dos seguintes procedimentos</w:t>
      </w:r>
      <w:r w:rsidR="00BA41A5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AB31AB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quando do ressarcimento da remuneração e encargos incidentes</w:t>
      </w: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</w:p>
    <w:p w:rsidR="00185CE5" w:rsidRPr="000E7F69" w:rsidRDefault="00AB31AB" w:rsidP="009E56FE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I – sobre a</w:t>
      </w:r>
      <w:r w:rsidR="00C15D83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existência d</w:t>
      </w:r>
      <w:r w:rsidR="004F7812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="00C15D83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ato autorizativo de que trata a alínea “a” do inciso II </w:t>
      </w:r>
      <w:r w:rsidR="00955FD3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do art. 1º </w:t>
      </w:r>
      <w:r w:rsidR="00C15D83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desta Instrução Normativa;</w:t>
      </w:r>
    </w:p>
    <w:p w:rsidR="000B1D1A" w:rsidRPr="00653A76" w:rsidRDefault="004F7812" w:rsidP="009E56FE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II </w:t>
      </w:r>
      <w:r w:rsidR="00DA566F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–</w:t>
      </w:r>
      <w:r w:rsidR="00BA41A5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em se tratando de servidor ou empregado público,</w:t>
      </w:r>
      <w:r w:rsidR="008A0D38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no que couber, </w:t>
      </w:r>
      <w:r w:rsidR="00BA41A5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no exercício de cargo comissionado,</w:t>
      </w:r>
      <w:r w:rsidR="00DA566F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53A76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assegurar</w:t>
      </w:r>
      <w:r w:rsidR="008A0D38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A566F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junto ao respectivo setorial ou seccional de Gestão de Pessoas que </w:t>
      </w:r>
      <w:r w:rsidR="00BA41A5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o servidor fez a opção pela remuneração da origem, ressalvada </w:t>
      </w:r>
      <w:r w:rsidR="00955FD3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eventual</w:t>
      </w:r>
      <w:r w:rsidR="00955FD3" w:rsidRPr="00653A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gratificação, prevista na legislação específica. </w:t>
      </w:r>
    </w:p>
    <w:p w:rsidR="00CA1801" w:rsidRDefault="00957344" w:rsidP="00DC5C50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Art. 3º Eventuais dúvidas sobre as disposições desta Instrução Normativa podem ser dirimidas por meio da </w:t>
      </w:r>
      <w:r w:rsidRPr="00BC68D5">
        <w:rPr>
          <w:rFonts w:ascii="Times New Roman" w:eastAsia="Times New Roman" w:hAnsi="Times New Roman" w:cs="Times New Roman"/>
          <w:color w:val="auto"/>
          <w:sz w:val="24"/>
          <w:szCs w:val="24"/>
        </w:rPr>
        <w:t>Diretor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ia</w:t>
      </w:r>
      <w:r w:rsidRPr="00BC68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de Gestão de Pessoas d</w:t>
      </w:r>
      <w:r w:rsidRPr="00193C07">
        <w:rPr>
          <w:rFonts w:ascii="Times New Roman" w:eastAsia="Times New Roman" w:hAnsi="Times New Roman" w:cs="Times New Roman"/>
          <w:color w:val="auto"/>
          <w:sz w:val="24"/>
          <w:szCs w:val="24"/>
        </w:rPr>
        <w:t>a Secretaria de Estado da</w:t>
      </w:r>
      <w:r w:rsidRPr="00BC68D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Administração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via o endereço eletrônico </w:t>
      </w:r>
      <w:hyperlink r:id="rId8" w:history="1">
        <w:r w:rsidRPr="000B1D1A">
          <w:rPr>
            <w:rFonts w:ascii="Times New Roman" w:eastAsia="Times New Roman" w:hAnsi="Times New Roman" w:cs="Times New Roman"/>
            <w:color w:val="auto"/>
            <w:sz w:val="24"/>
            <w:szCs w:val="24"/>
          </w:rPr>
          <w:t>geimp@sea.sc.gov.br</w:t>
        </w:r>
      </w:hyperlink>
      <w:r w:rsidR="002B2993">
        <w:t>.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2555D9" w:rsidRPr="00F500CC" w:rsidRDefault="002555D9" w:rsidP="002555D9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Art. 4º Aplicam-se as disposições desta Instrução Normativa a todos os atos vigentes</w:t>
      </w:r>
      <w:r w:rsidR="00DC5C5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e, </w:t>
      </w:r>
      <w:r w:rsidR="00DC5C50" w:rsidRPr="00F500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no que </w:t>
      </w:r>
      <w:r w:rsidR="00DC5C50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couber, </w:t>
      </w:r>
      <w:proofErr w:type="gramStart"/>
      <w:r w:rsidR="00DC5C50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>à</w:t>
      </w:r>
      <w:proofErr w:type="gramEnd"/>
      <w:r w:rsidR="008A0D38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todas</w:t>
      </w:r>
      <w:r w:rsidR="00DC5C50" w:rsidRPr="000E7F6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Entidades</w:t>
      </w:r>
      <w:r w:rsidR="00DC5C50" w:rsidRPr="00F500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 Administração Indireta do Poder Executivo Estadual</w:t>
      </w:r>
      <w:r w:rsidRPr="00F500CC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DC5C50" w:rsidRPr="00F500C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</w:p>
    <w:p w:rsidR="00980E6B" w:rsidRDefault="003124F2" w:rsidP="003124F2">
      <w:pPr>
        <w:widowControl/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124F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Art. </w:t>
      </w:r>
      <w:r w:rsidR="00DC5C50">
        <w:rPr>
          <w:rFonts w:ascii="Times New Roman" w:eastAsia="Times New Roman" w:hAnsi="Times New Roman" w:cs="Times New Roman"/>
          <w:color w:val="auto"/>
          <w:sz w:val="24"/>
          <w:szCs w:val="24"/>
        </w:rPr>
        <w:t>5</w:t>
      </w:r>
      <w:r w:rsidRPr="003124F2">
        <w:rPr>
          <w:rFonts w:ascii="Times New Roman" w:eastAsia="Times New Roman" w:hAnsi="Times New Roman" w:cs="Times New Roman"/>
          <w:color w:val="auto"/>
          <w:sz w:val="24"/>
          <w:szCs w:val="24"/>
        </w:rPr>
        <w:t>º - Esta Instrução Normativa entra em vigor na data de sua publicação.</w:t>
      </w:r>
    </w:p>
    <w:p w:rsidR="001824F3" w:rsidRDefault="001824F3" w:rsidP="005F1F5D">
      <w:pPr>
        <w:widowControl/>
        <w:adjustRightInd w:val="0"/>
        <w:jc w:val="both"/>
        <w:rPr>
          <w:rFonts w:eastAsia="Times New Roman" w:cs="Arial"/>
          <w:b/>
          <w:bCs/>
          <w:color w:val="auto"/>
          <w:szCs w:val="16"/>
        </w:rPr>
      </w:pPr>
    </w:p>
    <w:p w:rsidR="001824F3" w:rsidRDefault="001824F3" w:rsidP="005F1F5D">
      <w:pPr>
        <w:widowControl/>
        <w:adjustRightInd w:val="0"/>
        <w:jc w:val="both"/>
        <w:rPr>
          <w:rFonts w:eastAsia="Times New Roman" w:cs="Arial"/>
          <w:b/>
          <w:bCs/>
          <w:color w:val="auto"/>
          <w:szCs w:val="16"/>
        </w:rPr>
      </w:pPr>
    </w:p>
    <w:p w:rsidR="00A045A5" w:rsidRDefault="00A045A5" w:rsidP="005F1F5D">
      <w:pPr>
        <w:widowControl/>
        <w:adjustRightInd w:val="0"/>
        <w:jc w:val="both"/>
        <w:rPr>
          <w:rFonts w:eastAsia="Times New Roman" w:cs="Arial"/>
          <w:b/>
          <w:bCs/>
          <w:color w:val="auto"/>
          <w:szCs w:val="16"/>
        </w:rPr>
      </w:pPr>
      <w:r>
        <w:rPr>
          <w:rFonts w:eastAsia="Times New Roman" w:cs="Arial"/>
          <w:b/>
          <w:bCs/>
          <w:color w:val="auto"/>
          <w:szCs w:val="16"/>
        </w:rPr>
        <w:t xml:space="preserve">ANTÔNIO </w:t>
      </w:r>
      <w:r w:rsidR="00D51DB6">
        <w:rPr>
          <w:rFonts w:eastAsia="Times New Roman" w:cs="Arial"/>
          <w:b/>
          <w:bCs/>
          <w:color w:val="auto"/>
          <w:szCs w:val="16"/>
        </w:rPr>
        <w:t xml:space="preserve">MARCOS </w:t>
      </w:r>
      <w:r>
        <w:rPr>
          <w:rFonts w:eastAsia="Times New Roman" w:cs="Arial"/>
          <w:b/>
          <w:bCs/>
          <w:color w:val="auto"/>
          <w:szCs w:val="16"/>
        </w:rPr>
        <w:t>GAVAZZONI</w:t>
      </w:r>
    </w:p>
    <w:p w:rsidR="00A045A5" w:rsidRPr="005F1F5D" w:rsidRDefault="00A045A5" w:rsidP="00A045A5">
      <w:pPr>
        <w:widowControl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F1F5D">
        <w:rPr>
          <w:rFonts w:eastAsia="Times New Roman" w:cs="Arial"/>
          <w:color w:val="auto"/>
          <w:szCs w:val="16"/>
        </w:rPr>
        <w:t xml:space="preserve">Secretário de Estado da </w:t>
      </w:r>
      <w:r>
        <w:rPr>
          <w:rFonts w:eastAsia="Times New Roman" w:cs="Arial"/>
          <w:color w:val="auto"/>
          <w:szCs w:val="16"/>
        </w:rPr>
        <w:t>Fazenda</w:t>
      </w:r>
    </w:p>
    <w:p w:rsidR="00A045A5" w:rsidRDefault="00A045A5" w:rsidP="005F1F5D">
      <w:pPr>
        <w:widowControl/>
        <w:adjustRightInd w:val="0"/>
        <w:jc w:val="both"/>
        <w:rPr>
          <w:rFonts w:eastAsia="Times New Roman" w:cs="Arial"/>
          <w:b/>
          <w:bCs/>
          <w:color w:val="auto"/>
          <w:szCs w:val="16"/>
        </w:rPr>
      </w:pPr>
    </w:p>
    <w:p w:rsidR="001824F3" w:rsidRDefault="001824F3" w:rsidP="005F1F5D">
      <w:pPr>
        <w:widowControl/>
        <w:adjustRightInd w:val="0"/>
        <w:jc w:val="both"/>
        <w:rPr>
          <w:rFonts w:eastAsia="Times New Roman" w:cs="Arial"/>
          <w:b/>
          <w:bCs/>
          <w:color w:val="auto"/>
          <w:szCs w:val="16"/>
        </w:rPr>
      </w:pPr>
    </w:p>
    <w:p w:rsidR="00A045A5" w:rsidRDefault="00A045A5" w:rsidP="005F1F5D">
      <w:pPr>
        <w:widowControl/>
        <w:adjustRightInd w:val="0"/>
        <w:jc w:val="both"/>
        <w:rPr>
          <w:rFonts w:eastAsia="Times New Roman" w:cs="Arial"/>
          <w:b/>
          <w:bCs/>
          <w:color w:val="auto"/>
          <w:szCs w:val="16"/>
        </w:rPr>
      </w:pPr>
    </w:p>
    <w:p w:rsidR="005F1F5D" w:rsidRPr="005F1F5D" w:rsidRDefault="005F1F5D" w:rsidP="005F1F5D">
      <w:pPr>
        <w:widowControl/>
        <w:adjustRightInd w:val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eastAsia="Times New Roman" w:cs="Arial"/>
          <w:b/>
          <w:bCs/>
          <w:color w:val="auto"/>
          <w:szCs w:val="16"/>
        </w:rPr>
        <w:t>JOÃO MATOS</w:t>
      </w:r>
    </w:p>
    <w:p w:rsidR="005F1F5D" w:rsidRDefault="005F1F5D" w:rsidP="005F1F5D">
      <w:pPr>
        <w:widowControl/>
        <w:adjustRightInd w:val="0"/>
        <w:jc w:val="both"/>
        <w:rPr>
          <w:rFonts w:eastAsia="Times New Roman" w:cs="Arial"/>
          <w:color w:val="auto"/>
          <w:szCs w:val="16"/>
        </w:rPr>
      </w:pPr>
      <w:r w:rsidRPr="005F1F5D">
        <w:rPr>
          <w:rFonts w:eastAsia="Times New Roman" w:cs="Arial"/>
          <w:color w:val="auto"/>
          <w:szCs w:val="16"/>
        </w:rPr>
        <w:t>Secretário de Estado da Administração</w:t>
      </w:r>
    </w:p>
    <w:p w:rsidR="00316276" w:rsidRDefault="00316276" w:rsidP="005F1F5D">
      <w:pPr>
        <w:widowControl/>
        <w:adjustRightInd w:val="0"/>
        <w:jc w:val="both"/>
        <w:rPr>
          <w:rFonts w:eastAsia="Times New Roman" w:cs="Arial"/>
          <w:color w:val="auto"/>
          <w:szCs w:val="16"/>
        </w:rPr>
      </w:pPr>
    </w:p>
    <w:p w:rsidR="00316276" w:rsidRDefault="00316276" w:rsidP="005F1F5D">
      <w:pPr>
        <w:widowControl/>
        <w:adjustRightInd w:val="0"/>
        <w:jc w:val="both"/>
        <w:rPr>
          <w:rFonts w:eastAsia="Times New Roman" w:cs="Arial"/>
          <w:color w:val="auto"/>
          <w:szCs w:val="16"/>
        </w:rPr>
      </w:pPr>
    </w:p>
    <w:p w:rsidR="00980E6B" w:rsidRDefault="00980E6B" w:rsidP="00F615B4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316276" w:rsidRDefault="00316276" w:rsidP="00F615B4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sectPr w:rsidR="00316276" w:rsidSect="00F500CC">
      <w:footerReference w:type="default" r:id="rId9"/>
      <w:pgSz w:w="11906" w:h="16838" w:code="9"/>
      <w:pgMar w:top="680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41" w:rsidRDefault="00A86741" w:rsidP="00AB31AB">
      <w:r>
        <w:separator/>
      </w:r>
    </w:p>
  </w:endnote>
  <w:endnote w:type="continuationSeparator" w:id="0">
    <w:p w:rsidR="00A86741" w:rsidRDefault="00A86741" w:rsidP="00AB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07606"/>
      <w:docPartObj>
        <w:docPartGallery w:val="Page Numbers (Bottom of Page)"/>
        <w:docPartUnique/>
      </w:docPartObj>
    </w:sdtPr>
    <w:sdtEndPr/>
    <w:sdtContent>
      <w:p w:rsidR="00AB31AB" w:rsidRDefault="00692EEF">
        <w:pPr>
          <w:pStyle w:val="Rodap"/>
          <w:jc w:val="right"/>
        </w:pPr>
        <w:r>
          <w:fldChar w:fldCharType="begin"/>
        </w:r>
        <w:r w:rsidR="00AB31AB">
          <w:instrText>PAGE   \* MERGEFORMAT</w:instrText>
        </w:r>
        <w:r>
          <w:fldChar w:fldCharType="separate"/>
        </w:r>
        <w:r w:rsidR="00316276">
          <w:rPr>
            <w:noProof/>
          </w:rPr>
          <w:t>3</w:t>
        </w:r>
        <w:r>
          <w:fldChar w:fldCharType="end"/>
        </w:r>
      </w:p>
    </w:sdtContent>
  </w:sdt>
  <w:p w:rsidR="00AB31AB" w:rsidRDefault="00AB31A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41" w:rsidRDefault="00A86741" w:rsidP="00AB31AB">
      <w:r>
        <w:separator/>
      </w:r>
    </w:p>
  </w:footnote>
  <w:footnote w:type="continuationSeparator" w:id="0">
    <w:p w:rsidR="00A86741" w:rsidRDefault="00A86741" w:rsidP="00AB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0B"/>
    <w:rsid w:val="00090D6F"/>
    <w:rsid w:val="00092C99"/>
    <w:rsid w:val="000B1D1A"/>
    <w:rsid w:val="000E7F69"/>
    <w:rsid w:val="000F409D"/>
    <w:rsid w:val="000F5F6A"/>
    <w:rsid w:val="00117A16"/>
    <w:rsid w:val="001654E8"/>
    <w:rsid w:val="00175709"/>
    <w:rsid w:val="00182016"/>
    <w:rsid w:val="001824F3"/>
    <w:rsid w:val="00182504"/>
    <w:rsid w:val="00185CE5"/>
    <w:rsid w:val="00193C07"/>
    <w:rsid w:val="001B4F2F"/>
    <w:rsid w:val="001B6FFF"/>
    <w:rsid w:val="002555D9"/>
    <w:rsid w:val="00281B74"/>
    <w:rsid w:val="002B2993"/>
    <w:rsid w:val="002F2C47"/>
    <w:rsid w:val="003124F2"/>
    <w:rsid w:val="00316276"/>
    <w:rsid w:val="003578AF"/>
    <w:rsid w:val="00357A1D"/>
    <w:rsid w:val="003A0473"/>
    <w:rsid w:val="003F30BE"/>
    <w:rsid w:val="004522FD"/>
    <w:rsid w:val="00476895"/>
    <w:rsid w:val="004F363A"/>
    <w:rsid w:val="004F7812"/>
    <w:rsid w:val="00516F82"/>
    <w:rsid w:val="005403B2"/>
    <w:rsid w:val="00551F96"/>
    <w:rsid w:val="005F17B6"/>
    <w:rsid w:val="005F1F5D"/>
    <w:rsid w:val="00605AB6"/>
    <w:rsid w:val="0063549A"/>
    <w:rsid w:val="006449CF"/>
    <w:rsid w:val="00653A76"/>
    <w:rsid w:val="0065529D"/>
    <w:rsid w:val="0067617D"/>
    <w:rsid w:val="006776AB"/>
    <w:rsid w:val="0068766D"/>
    <w:rsid w:val="00692EEF"/>
    <w:rsid w:val="00695BA3"/>
    <w:rsid w:val="006A6BEB"/>
    <w:rsid w:val="006C6CF3"/>
    <w:rsid w:val="006F18B6"/>
    <w:rsid w:val="00706455"/>
    <w:rsid w:val="007418F9"/>
    <w:rsid w:val="00793EFE"/>
    <w:rsid w:val="008170BE"/>
    <w:rsid w:val="00833987"/>
    <w:rsid w:val="008500C9"/>
    <w:rsid w:val="00856200"/>
    <w:rsid w:val="00863125"/>
    <w:rsid w:val="0086748F"/>
    <w:rsid w:val="008A0D38"/>
    <w:rsid w:val="008A300C"/>
    <w:rsid w:val="008B4E42"/>
    <w:rsid w:val="008E506A"/>
    <w:rsid w:val="00911767"/>
    <w:rsid w:val="00915BB5"/>
    <w:rsid w:val="00916C0A"/>
    <w:rsid w:val="00917B14"/>
    <w:rsid w:val="00955FD3"/>
    <w:rsid w:val="00957344"/>
    <w:rsid w:val="00980C49"/>
    <w:rsid w:val="00980E6B"/>
    <w:rsid w:val="009866EB"/>
    <w:rsid w:val="009A7A0B"/>
    <w:rsid w:val="009C3641"/>
    <w:rsid w:val="009E56FE"/>
    <w:rsid w:val="009F41DA"/>
    <w:rsid w:val="00A045A5"/>
    <w:rsid w:val="00A71BBC"/>
    <w:rsid w:val="00A86741"/>
    <w:rsid w:val="00A93257"/>
    <w:rsid w:val="00AB0A5F"/>
    <w:rsid w:val="00AB31AB"/>
    <w:rsid w:val="00AD7947"/>
    <w:rsid w:val="00AE1CF8"/>
    <w:rsid w:val="00B0784A"/>
    <w:rsid w:val="00B222D2"/>
    <w:rsid w:val="00B5622F"/>
    <w:rsid w:val="00B67FBA"/>
    <w:rsid w:val="00B757DE"/>
    <w:rsid w:val="00B86782"/>
    <w:rsid w:val="00BA1D99"/>
    <w:rsid w:val="00BA41A5"/>
    <w:rsid w:val="00BA62FF"/>
    <w:rsid w:val="00BC68D5"/>
    <w:rsid w:val="00C15D83"/>
    <w:rsid w:val="00C21A94"/>
    <w:rsid w:val="00C751BC"/>
    <w:rsid w:val="00C949E8"/>
    <w:rsid w:val="00CA1801"/>
    <w:rsid w:val="00CB728B"/>
    <w:rsid w:val="00CE3AB6"/>
    <w:rsid w:val="00CE6784"/>
    <w:rsid w:val="00D14B71"/>
    <w:rsid w:val="00D335D3"/>
    <w:rsid w:val="00D51DB6"/>
    <w:rsid w:val="00DA566F"/>
    <w:rsid w:val="00DC5C50"/>
    <w:rsid w:val="00E72D0E"/>
    <w:rsid w:val="00EC7E2F"/>
    <w:rsid w:val="00ED7704"/>
    <w:rsid w:val="00EF4B9E"/>
    <w:rsid w:val="00F500CC"/>
    <w:rsid w:val="00F615B4"/>
    <w:rsid w:val="00F67AAD"/>
    <w:rsid w:val="00FA1801"/>
    <w:rsid w:val="00FF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BE"/>
    <w:pPr>
      <w:widowControl w:val="0"/>
      <w:spacing w:after="0" w:line="240" w:lineRule="auto"/>
    </w:pPr>
    <w:rPr>
      <w:rFonts w:ascii="Arial" w:hAnsi="Arial"/>
      <w:color w:val="00000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A7A0B"/>
    <w:pPr>
      <w:keepNext/>
      <w:widowControl/>
      <w:autoSpaceDE w:val="0"/>
      <w:autoSpaceDN w:val="0"/>
      <w:adjustRightInd w:val="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F30BE"/>
    <w:pPr>
      <w:widowControl/>
      <w:jc w:val="center"/>
    </w:pPr>
    <w:rPr>
      <w:rFonts w:eastAsia="Times New Roman" w:cs="Times New Roman"/>
      <w:b/>
      <w:sz w:val="24"/>
    </w:rPr>
  </w:style>
  <w:style w:type="character" w:customStyle="1" w:styleId="TtuloChar">
    <w:name w:val="Título Char"/>
    <w:basedOn w:val="Fontepargpadro"/>
    <w:link w:val="Ttulo"/>
    <w:rsid w:val="003F30BE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F30BE"/>
    <w:pPr>
      <w:ind w:left="720"/>
      <w:contextualSpacing/>
    </w:pPr>
    <w:rPr>
      <w:rFonts w:eastAsia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9A7A0B"/>
    <w:rPr>
      <w:rFonts w:ascii="Times New Roman" w:eastAsia="Times New Roman" w:hAnsi="Times New Roman" w:cs="Times New Roman"/>
      <w:b/>
      <w:bCs/>
      <w:sz w:val="24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7A0B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4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7A0B"/>
    <w:rPr>
      <w:rFonts w:ascii="Times New Roman" w:eastAsia="Times New Roman" w:hAnsi="Times New Roman" w:cs="Times New Roman"/>
      <w:sz w:val="24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9E56F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31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31AB"/>
    <w:rPr>
      <w:rFonts w:ascii="Arial" w:hAnsi="Arial"/>
      <w:color w:val="00000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31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31AB"/>
    <w:rPr>
      <w:rFonts w:ascii="Arial" w:hAnsi="Arial"/>
      <w:color w:val="00000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0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09D"/>
    <w:rPr>
      <w:rFonts w:ascii="Tahoma" w:hAnsi="Tahoma" w:cs="Tahoma"/>
      <w:color w:val="000000"/>
      <w:sz w:val="16"/>
      <w:szCs w:val="16"/>
      <w:lang w:eastAsia="pt-BR"/>
    </w:rPr>
  </w:style>
  <w:style w:type="paragraph" w:customStyle="1" w:styleId="Artigo">
    <w:name w:val="Artigo"/>
    <w:basedOn w:val="Normal"/>
    <w:rsid w:val="00B86782"/>
    <w:pPr>
      <w:widowControl/>
      <w:ind w:firstLine="851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B562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622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622F"/>
    <w:rPr>
      <w:rFonts w:ascii="Arial" w:hAnsi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62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622F"/>
    <w:rPr>
      <w:rFonts w:ascii="Arial" w:hAnsi="Arial"/>
      <w:b/>
      <w:bCs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0BE"/>
    <w:pPr>
      <w:widowControl w:val="0"/>
      <w:spacing w:after="0" w:line="240" w:lineRule="auto"/>
    </w:pPr>
    <w:rPr>
      <w:rFonts w:ascii="Arial" w:hAnsi="Arial"/>
      <w:color w:val="00000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A7A0B"/>
    <w:pPr>
      <w:keepNext/>
      <w:widowControl/>
      <w:autoSpaceDE w:val="0"/>
      <w:autoSpaceDN w:val="0"/>
      <w:adjustRightInd w:val="0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3F30BE"/>
    <w:pPr>
      <w:widowControl/>
      <w:jc w:val="center"/>
    </w:pPr>
    <w:rPr>
      <w:rFonts w:eastAsia="Times New Roman" w:cs="Times New Roman"/>
      <w:b/>
      <w:sz w:val="24"/>
    </w:rPr>
  </w:style>
  <w:style w:type="character" w:customStyle="1" w:styleId="TtuloChar">
    <w:name w:val="Título Char"/>
    <w:basedOn w:val="Fontepargpadro"/>
    <w:link w:val="Ttulo"/>
    <w:rsid w:val="003F30BE"/>
    <w:rPr>
      <w:rFonts w:ascii="Arial" w:eastAsia="Times New Roman" w:hAnsi="Arial" w:cs="Times New Roman"/>
      <w:b/>
      <w:color w:val="000000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F30BE"/>
    <w:pPr>
      <w:ind w:left="720"/>
      <w:contextualSpacing/>
    </w:pPr>
    <w:rPr>
      <w:rFonts w:eastAsia="Times New Roman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9A7A0B"/>
    <w:rPr>
      <w:rFonts w:ascii="Times New Roman" w:eastAsia="Times New Roman" w:hAnsi="Times New Roman" w:cs="Times New Roman"/>
      <w:b/>
      <w:bCs/>
      <w:sz w:val="24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A7A0B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24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A7A0B"/>
    <w:rPr>
      <w:rFonts w:ascii="Times New Roman" w:eastAsia="Times New Roman" w:hAnsi="Times New Roman" w:cs="Times New Roman"/>
      <w:sz w:val="24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9E56FE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B31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31AB"/>
    <w:rPr>
      <w:rFonts w:ascii="Arial" w:hAnsi="Arial"/>
      <w:color w:val="00000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B31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31AB"/>
    <w:rPr>
      <w:rFonts w:ascii="Arial" w:hAnsi="Arial"/>
      <w:color w:val="00000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0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09D"/>
    <w:rPr>
      <w:rFonts w:ascii="Tahoma" w:hAnsi="Tahoma" w:cs="Tahoma"/>
      <w:color w:val="000000"/>
      <w:sz w:val="16"/>
      <w:szCs w:val="16"/>
      <w:lang w:eastAsia="pt-BR"/>
    </w:rPr>
  </w:style>
  <w:style w:type="paragraph" w:customStyle="1" w:styleId="Artigo">
    <w:name w:val="Artigo"/>
    <w:basedOn w:val="Normal"/>
    <w:rsid w:val="00B86782"/>
    <w:pPr>
      <w:widowControl/>
      <w:ind w:firstLine="851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B562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5622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5622F"/>
    <w:rPr>
      <w:rFonts w:ascii="Arial" w:hAnsi="Arial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562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5622F"/>
    <w:rPr>
      <w:rFonts w:ascii="Arial" w:hAnsi="Arial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imp@sea.sc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doservidor.sc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1057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Taffarel</dc:creator>
  <cp:lastModifiedBy>Clarice Taffarel</cp:lastModifiedBy>
  <cp:revision>7</cp:revision>
  <cp:lastPrinted>2015-07-23T17:44:00Z</cp:lastPrinted>
  <dcterms:created xsi:type="dcterms:W3CDTF">2015-07-27T19:01:00Z</dcterms:created>
  <dcterms:modified xsi:type="dcterms:W3CDTF">2016-12-02T19:05:00Z</dcterms:modified>
</cp:coreProperties>
</file>